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20" w:rsidRPr="00C82525" w:rsidRDefault="00BB1820" w:rsidP="00BB1820">
      <w:pPr>
        <w:pStyle w:val="ARCATTitleOfSection"/>
        <w:outlineLvl w:val="0"/>
        <w:rPr>
          <w:lang w:val="fr-CA"/>
        </w:rPr>
      </w:pPr>
      <w:r w:rsidRPr="00C82525">
        <w:rPr>
          <w:lang w:val="fr-CA"/>
        </w:rPr>
        <w:t>SECTION </w:t>
      </w:r>
      <w:r w:rsidR="002578AD" w:rsidRPr="00947DAB">
        <w:rPr>
          <w:lang w:val="fr-CA"/>
        </w:rPr>
        <w:t>32 31 00</w:t>
      </w:r>
    </w:p>
    <w:p w:rsidR="00BB1820" w:rsidRPr="00C82525" w:rsidRDefault="00BB1820" w:rsidP="00BB1820">
      <w:pPr>
        <w:pStyle w:val="ARCATBlank"/>
        <w:rPr>
          <w:lang w:val="fr-CA"/>
        </w:rPr>
      </w:pPr>
    </w:p>
    <w:p w:rsidR="00BB1820" w:rsidRPr="00C82525" w:rsidRDefault="00BB1820" w:rsidP="00BB1820">
      <w:pPr>
        <w:pStyle w:val="ARCATTitleOfSection"/>
        <w:outlineLvl w:val="0"/>
        <w:rPr>
          <w:lang w:val="fr-CA"/>
        </w:rPr>
      </w:pPr>
      <w:r w:rsidRPr="00C82525">
        <w:rPr>
          <w:lang w:val="fr-CA"/>
        </w:rPr>
        <w:t>ACTIONNEURS DE BARRIÈRE ÉLECTRIQUE</w:t>
      </w:r>
    </w:p>
    <w:p w:rsidR="00BB1820" w:rsidRPr="00C82525" w:rsidRDefault="00BB1820" w:rsidP="00BB1820">
      <w:pPr>
        <w:pStyle w:val="ARCATBlank"/>
        <w:rPr>
          <w:lang w:val="fr-CA"/>
        </w:rPr>
      </w:pPr>
    </w:p>
    <w:p w:rsidR="00BB1820" w:rsidRPr="00C82525" w:rsidRDefault="00BB1820" w:rsidP="00BB1820">
      <w:pPr>
        <w:pStyle w:val="ARCATBlank"/>
        <w:rPr>
          <w:lang w:val="fr-CA"/>
        </w:rPr>
      </w:pPr>
      <w:r w:rsidRPr="00C82525">
        <w:rPr>
          <w:noProof/>
          <w:lang w:val="fr-CA" w:eastAsia="fr-CA"/>
        </w:rPr>
        <w:drawing>
          <wp:anchor distT="0" distB="0" distL="114300" distR="114300" simplePos="0" relativeHeight="251659264" behindDoc="0" locked="0" layoutInCell="1" allowOverlap="1">
            <wp:simplePos x="0" y="0"/>
            <wp:positionH relativeFrom="column">
              <wp:posOffset>1892935</wp:posOffset>
            </wp:positionH>
            <wp:positionV relativeFrom="paragraph">
              <wp:posOffset>36830</wp:posOffset>
            </wp:positionV>
            <wp:extent cx="2152650" cy="257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2650" cy="257175"/>
                    </a:xfrm>
                    <a:prstGeom prst="rect">
                      <a:avLst/>
                    </a:prstGeom>
                    <a:noFill/>
                    <a:ln>
                      <a:noFill/>
                    </a:ln>
                  </pic:spPr>
                </pic:pic>
              </a:graphicData>
            </a:graphic>
          </wp:anchor>
        </w:drawing>
      </w:r>
    </w:p>
    <w:p w:rsidR="00BB1820" w:rsidRPr="00C82525" w:rsidRDefault="00BB1820" w:rsidP="00BB1820">
      <w:pPr>
        <w:pStyle w:val="ARCATBlank"/>
        <w:rPr>
          <w:lang w:val="fr-CA"/>
        </w:rPr>
      </w:pPr>
    </w:p>
    <w:p w:rsidR="00BB1820" w:rsidRPr="00C82525" w:rsidRDefault="00BB1820" w:rsidP="00BB1820">
      <w:pPr>
        <w:pStyle w:val="ARCATBlank"/>
        <w:rPr>
          <w:lang w:val="fr-CA"/>
        </w:rPr>
      </w:pPr>
    </w:p>
    <w:p w:rsidR="00BB1820" w:rsidRPr="00C82525" w:rsidRDefault="00BB1820" w:rsidP="00BB1820">
      <w:pPr>
        <w:pStyle w:val="ARCATTitleOfSection"/>
        <w:rPr>
          <w:lang w:val="fr-CA"/>
        </w:rPr>
      </w:pPr>
      <w:r w:rsidRPr="00C82525">
        <w:rPr>
          <w:lang w:val="fr-CA"/>
        </w:rPr>
        <w:t>Afficher les remarques masquées au rédacteur en utilisant « Outils »/« Options »/« Afficher »/« Texte masqué ».</w:t>
      </w:r>
    </w:p>
    <w:p w:rsidR="00BB1820" w:rsidRPr="00C82525" w:rsidRDefault="00BB1820" w:rsidP="00BB1820">
      <w:pPr>
        <w:pStyle w:val="ARCATBlank"/>
        <w:rPr>
          <w:lang w:val="fr-CA"/>
        </w:rPr>
      </w:pPr>
    </w:p>
    <w:p w:rsidR="00BB1820" w:rsidRPr="00C82525" w:rsidRDefault="00BB1820" w:rsidP="00BB1820">
      <w:pPr>
        <w:pStyle w:val="ARCATNote"/>
        <w:rPr>
          <w:lang w:val="fr-CA"/>
        </w:rPr>
      </w:pPr>
      <w:r w:rsidRPr="00C82525">
        <w:rPr>
          <w:lang w:val="fr-CA"/>
        </w:rPr>
        <w:t>** REMARQUE AU RÉDACTEUR ** LiftMaster; Actionneurs de barrière électrique.</w:t>
      </w:r>
    </w:p>
    <w:p w:rsidR="00BB1820" w:rsidRPr="00C82525" w:rsidRDefault="00BB1820" w:rsidP="00BB1820">
      <w:pPr>
        <w:pStyle w:val="ARCATNote"/>
        <w:rPr>
          <w:lang w:val="fr-CA"/>
        </w:rPr>
      </w:pPr>
    </w:p>
    <w:p w:rsidR="00BB1820" w:rsidRPr="00C82525" w:rsidRDefault="00BB1820" w:rsidP="00BB1820">
      <w:pPr>
        <w:pStyle w:val="ARCATNote"/>
        <w:rPr>
          <w:lang w:val="fr-CA"/>
        </w:rPr>
      </w:pPr>
      <w:r w:rsidRPr="00C82525">
        <w:rPr>
          <w:lang w:val="fr-CA"/>
        </w:rPr>
        <w:t>Cette section est basée sur les produits de The LiftMaster Group, Inc., situé à :</w:t>
      </w:r>
    </w:p>
    <w:p w:rsidR="001273A1" w:rsidRPr="00D96933" w:rsidRDefault="00BB1820" w:rsidP="001273A1">
      <w:pPr>
        <w:pStyle w:val="ARCATNote"/>
      </w:pPr>
      <w:r w:rsidRPr="00C82525">
        <w:rPr>
          <w:lang w:val="fr-CA"/>
        </w:rPr>
        <w:tab/>
      </w:r>
      <w:r w:rsidR="001273A1">
        <w:t>300 Windsor Drive</w:t>
      </w:r>
    </w:p>
    <w:p w:rsidR="001273A1" w:rsidRPr="00D96933" w:rsidRDefault="001273A1" w:rsidP="001273A1">
      <w:pPr>
        <w:pStyle w:val="ARCATNote"/>
      </w:pPr>
      <w:r w:rsidRPr="00D96933">
        <w:tab/>
      </w:r>
      <w:r w:rsidR="002578AD">
        <w:t>Oak</w:t>
      </w:r>
      <w:r w:rsidR="00947DAB">
        <w:t xml:space="preserve"> </w:t>
      </w:r>
      <w:r w:rsidR="002578AD">
        <w:t>B</w:t>
      </w:r>
      <w:r>
        <w:t>rook, IL 60523</w:t>
      </w:r>
    </w:p>
    <w:p w:rsidR="00BB1820" w:rsidRPr="002578AD" w:rsidRDefault="00BB1820" w:rsidP="001273A1">
      <w:pPr>
        <w:pStyle w:val="ARCATNote"/>
      </w:pPr>
      <w:r w:rsidRPr="002578AD">
        <w:tab/>
        <w:t>Tél. : 800 282.6225</w:t>
      </w:r>
    </w:p>
    <w:p w:rsidR="00BB1820" w:rsidRPr="002578AD" w:rsidRDefault="00BB1820" w:rsidP="00BB1820">
      <w:pPr>
        <w:pStyle w:val="ARCATNote"/>
      </w:pPr>
      <w:r w:rsidRPr="002578AD">
        <w:tab/>
      </w:r>
    </w:p>
    <w:p w:rsidR="00BB1820" w:rsidRPr="002578AD" w:rsidRDefault="00BB1820" w:rsidP="00BB1820">
      <w:pPr>
        <w:pStyle w:val="ARCATNote"/>
      </w:pPr>
      <w:r w:rsidRPr="002578AD">
        <w:tab/>
        <w:t>Courriel : specs@LiftMaster.com</w:t>
      </w:r>
    </w:p>
    <w:p w:rsidR="00BB1820" w:rsidRPr="002578AD" w:rsidRDefault="00BB1820" w:rsidP="00BB1820">
      <w:pPr>
        <w:pStyle w:val="ARCATNote"/>
      </w:pPr>
      <w:r w:rsidRPr="002578AD">
        <w:tab/>
        <w:t>Site Web : LiftMaster.com</w:t>
      </w:r>
    </w:p>
    <w:p w:rsidR="00BB1820" w:rsidRPr="00C82525" w:rsidRDefault="00BB1820" w:rsidP="00BB1820">
      <w:pPr>
        <w:pStyle w:val="ARCATNote"/>
        <w:rPr>
          <w:lang w:val="fr-CA"/>
        </w:rPr>
      </w:pPr>
      <w:r w:rsidRPr="002578AD">
        <w:tab/>
      </w:r>
      <w:hyperlink r:id="rId9" w:history="1">
        <w:r w:rsidRPr="00C82525">
          <w:rPr>
            <w:rStyle w:val="Lienhypertexte"/>
            <w:lang w:val="fr-CA"/>
          </w:rPr>
          <w:t>{cliquer ici} pour de l’information supplémentaire.</w:t>
        </w:r>
      </w:hyperlink>
    </w:p>
    <w:p w:rsidR="00BB1820" w:rsidRPr="00C82525" w:rsidRDefault="00BB1820" w:rsidP="00BB1820">
      <w:pPr>
        <w:pStyle w:val="ARCATNote"/>
        <w:rPr>
          <w:lang w:val="fr-CA"/>
        </w:rPr>
      </w:pPr>
    </w:p>
    <w:p w:rsidR="00BB1820" w:rsidRPr="00C82525" w:rsidRDefault="00BB1820" w:rsidP="00BB1820">
      <w:pPr>
        <w:pStyle w:val="ARCATNote"/>
        <w:rPr>
          <w:lang w:val="fr-CA"/>
        </w:rPr>
      </w:pPr>
      <w:r w:rsidRPr="00C82525">
        <w:rPr>
          <w:lang w:val="fr-CA"/>
        </w:rPr>
        <w:t>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UL 325 et aux codes de sécurité et du bâtiment. Nos gammes de produits contribuent également aux crédits d’efficacité énergétique pour la certification des bâtiments écologiques LEED du Green Building Council.</w:t>
      </w:r>
      <w:r w:rsidR="00895143">
        <w:rPr>
          <w:lang w:val="fr-CA"/>
        </w:rPr>
        <w:t xml:space="preserve"> </w:t>
      </w:r>
      <w:r w:rsidRPr="00C82525">
        <w:rPr>
          <w:lang w:val="fr-CA"/>
        </w:rPr>
        <w:t xml:space="preserve">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10" w:history="1">
        <w:r w:rsidRPr="00C82525">
          <w:rPr>
            <w:rStyle w:val="Lienhypertexte"/>
            <w:color w:val="FF00FF"/>
            <w:lang w:val="fr-CA"/>
          </w:rPr>
          <w:t>specs@LiftMaster.com</w:t>
        </w:r>
      </w:hyperlink>
      <w:r w:rsidRPr="00C82525">
        <w:rPr>
          <w:lang w:val="fr-CA"/>
        </w:rPr>
        <w:t>. Pour une bibliothèque complète de spécifications d’architecte, de dessins d’atelier, de caractéristiques en trois parties au format CSI, de CAO et de modélisations de produits, allez à LiftMaster.com.</w:t>
      </w:r>
    </w:p>
    <w:p w:rsidR="00BB1820" w:rsidRPr="00C82525" w:rsidRDefault="00BB1820" w:rsidP="00BB1820">
      <w:pPr>
        <w:pStyle w:val="ARCATBlank"/>
        <w:rPr>
          <w:lang w:val="fr-CA"/>
        </w:rPr>
      </w:pPr>
    </w:p>
    <w:p w:rsidR="00BB1820" w:rsidRPr="00C82525" w:rsidRDefault="00BB1820" w:rsidP="00BB1820">
      <w:pPr>
        <w:pStyle w:val="ARCATBlank"/>
        <w:rPr>
          <w:lang w:val="fr-CA"/>
        </w:rPr>
      </w:pPr>
    </w:p>
    <w:p w:rsidR="00BB1820" w:rsidRPr="00C82525" w:rsidRDefault="00BB1820" w:rsidP="00BB1820">
      <w:pPr>
        <w:pStyle w:val="ARCATPart"/>
        <w:rPr>
          <w:lang w:val="fr-CA"/>
        </w:rPr>
      </w:pPr>
      <w:r w:rsidRPr="00C82525">
        <w:rPr>
          <w:lang w:val="fr-CA"/>
        </w:rPr>
        <w:t>GÉNÉRALITÉS</w:t>
      </w:r>
    </w:p>
    <w:p w:rsidR="00BB1820" w:rsidRPr="00C82525" w:rsidRDefault="00BB1820" w:rsidP="00BB1820">
      <w:pPr>
        <w:pStyle w:val="ARCATBlank"/>
        <w:rPr>
          <w:lang w:val="fr-CA"/>
        </w:rPr>
      </w:pPr>
    </w:p>
    <w:p w:rsidR="00BB1820" w:rsidRPr="00C82525" w:rsidRDefault="00BB1820" w:rsidP="00BB1820">
      <w:pPr>
        <w:pStyle w:val="ARCATArticle"/>
        <w:rPr>
          <w:lang w:val="fr-CA"/>
        </w:rPr>
      </w:pPr>
      <w:r w:rsidRPr="00C82525">
        <w:rPr>
          <w:lang w:val="fr-CA"/>
        </w:rPr>
        <w:t>LA SECTION COMPREND</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Actionneurs de barrière électrique :</w:t>
      </w:r>
    </w:p>
    <w:p w:rsidR="00BB1820" w:rsidRPr="00C82525" w:rsidRDefault="00BB1820" w:rsidP="00BB1820">
      <w:pPr>
        <w:pStyle w:val="ARCATSubPara"/>
        <w:rPr>
          <w:lang w:val="fr-CA"/>
        </w:rPr>
      </w:pPr>
      <w:r w:rsidRPr="00C82525">
        <w:rPr>
          <w:lang w:val="fr-CA"/>
        </w:rPr>
        <w:t>Actionneurs de barrière coulissante de service industriel lourd à entraînement par engrenages (LiftMaster de modèle SL585).</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Cellules photoélectriques surveillées</w:t>
      </w:r>
    </w:p>
    <w:p w:rsidR="00BB1820" w:rsidRPr="00C82525" w:rsidRDefault="00BB1820" w:rsidP="00BB1820">
      <w:pPr>
        <w:pStyle w:val="ARCATNote"/>
        <w:rPr>
          <w:lang w:val="fr-CA"/>
        </w:rPr>
      </w:pPr>
      <w:r w:rsidRPr="00C82525">
        <w:rPr>
          <w:lang w:val="fr-CA"/>
        </w:rPr>
        <w:t xml:space="preserve">** REMARQUE AU RÉDACTEUR ** Supprimer les éléments ci-dessous qui ne sont pas exigés pour ce projet. </w:t>
      </w:r>
    </w:p>
    <w:p w:rsidR="00BB1820" w:rsidRPr="00C82525" w:rsidRDefault="00BB1820" w:rsidP="00BB1820">
      <w:pPr>
        <w:pStyle w:val="ARCATSubPara"/>
        <w:rPr>
          <w:lang w:val="fr-CA"/>
        </w:rPr>
      </w:pPr>
      <w:r w:rsidRPr="00C82525">
        <w:rPr>
          <w:lang w:val="fr-CA"/>
        </w:rPr>
        <w:t>Cellules photoélectriques rétroréfléchissantes surveillées (LiftMaster de modèle LMRRU</w:t>
      </w:r>
      <w:r w:rsidR="002578AD">
        <w:rPr>
          <w:lang w:val="fr-CA"/>
        </w:rPr>
        <w:t>L</w:t>
      </w:r>
      <w:r w:rsidRPr="00C82525">
        <w:rPr>
          <w:lang w:val="fr-CA"/>
        </w:rPr>
        <w:t>)</w:t>
      </w:r>
    </w:p>
    <w:p w:rsidR="00BB1820" w:rsidRPr="00C82525" w:rsidRDefault="00BB1820" w:rsidP="00BB1820">
      <w:pPr>
        <w:pStyle w:val="ARCATSubPara"/>
        <w:rPr>
          <w:lang w:val="fr-CA"/>
        </w:rPr>
      </w:pPr>
      <w:r w:rsidRPr="00C82525">
        <w:rPr>
          <w:lang w:val="fr-CA"/>
        </w:rPr>
        <w:t>Cellules photoélectriques surveillées de type barrage (LiftMaster de modèle LMTBU</w:t>
      </w:r>
      <w:r w:rsidR="002578AD">
        <w:rPr>
          <w:lang w:val="fr-CA"/>
        </w:rPr>
        <w:t>L</w:t>
      </w:r>
      <w:r w:rsidRPr="00C82525">
        <w:rPr>
          <w:lang w:val="fr-CA"/>
        </w:rPr>
        <w:t>)</w:t>
      </w:r>
    </w:p>
    <w:p w:rsidR="00BB1820" w:rsidRPr="00C82525" w:rsidRDefault="00BB1820" w:rsidP="00BB1820">
      <w:pPr>
        <w:pStyle w:val="ARCATBlank"/>
        <w:rPr>
          <w:lang w:val="fr-CA"/>
        </w:rPr>
      </w:pPr>
    </w:p>
    <w:p w:rsidR="00BB1820" w:rsidRPr="00C82525" w:rsidRDefault="00BB1820" w:rsidP="00BB1820">
      <w:pPr>
        <w:pStyle w:val="ARCATArticle"/>
        <w:rPr>
          <w:lang w:val="fr-CA"/>
        </w:rPr>
      </w:pPr>
      <w:r w:rsidRPr="00C82525">
        <w:rPr>
          <w:lang w:val="fr-CA"/>
        </w:rPr>
        <w:t>SECTIONS CONNEXES</w:t>
      </w:r>
    </w:p>
    <w:p w:rsidR="00BB1820" w:rsidRPr="00C82525" w:rsidRDefault="00BB1820" w:rsidP="00BB1820">
      <w:pPr>
        <w:pStyle w:val="ARCATBlank"/>
        <w:rPr>
          <w:lang w:val="fr-CA"/>
        </w:rPr>
      </w:pPr>
    </w:p>
    <w:p w:rsidR="00BB1820" w:rsidRPr="00C82525" w:rsidRDefault="00BB1820" w:rsidP="00BB1820">
      <w:pPr>
        <w:pStyle w:val="ARCATNote"/>
        <w:rPr>
          <w:lang w:val="fr-CA"/>
        </w:rPr>
      </w:pPr>
      <w:r w:rsidRPr="00C82525">
        <w:rPr>
          <w:lang w:val="fr-CA"/>
        </w:rPr>
        <w:t>** REMARQUE AU RÉDACTEUR ** Supprimer toute section ci-dessous non pertinente à ce projet; en ajouter d’autres au besoin.</w:t>
      </w:r>
    </w:p>
    <w:p w:rsidR="00BB1820" w:rsidRPr="00C82525" w:rsidRDefault="00BB1820" w:rsidP="00BB1820">
      <w:pPr>
        <w:pStyle w:val="ARCATParagraph"/>
        <w:rPr>
          <w:lang w:val="fr-CA"/>
        </w:rPr>
      </w:pPr>
      <w:r w:rsidRPr="00C82525">
        <w:rPr>
          <w:lang w:val="fr-CA"/>
        </w:rPr>
        <w:t>Section 02820 – Clôtures et barrières :</w:t>
      </w:r>
      <w:r w:rsidR="001273A1">
        <w:rPr>
          <w:lang w:val="fr-CA"/>
        </w:rPr>
        <w:t xml:space="preserve"> </w:t>
      </w:r>
      <w:r w:rsidRPr="00C82525">
        <w:rPr>
          <w:lang w:val="fr-CA"/>
        </w:rPr>
        <w:t>Clôtures et barrières contiguës.</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Section 03300 – Béton coulé sur place :</w:t>
      </w:r>
      <w:r w:rsidR="001273A1">
        <w:rPr>
          <w:lang w:val="fr-CA"/>
        </w:rPr>
        <w:t xml:space="preserve"> </w:t>
      </w:r>
      <w:r w:rsidRPr="00C82525">
        <w:rPr>
          <w:lang w:val="fr-CA"/>
        </w:rPr>
        <w:t>Dalles de montage en béton.</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Section 11150 – Équipement de contrôle de terrain de stationnement.</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Division 16 - Exigences de connexions électriques</w:t>
      </w:r>
    </w:p>
    <w:p w:rsidR="00BB1820" w:rsidRPr="00C82525" w:rsidRDefault="00BB1820" w:rsidP="00BB1820">
      <w:pPr>
        <w:pStyle w:val="ARCATBlank"/>
        <w:rPr>
          <w:lang w:val="fr-CA"/>
        </w:rPr>
      </w:pPr>
    </w:p>
    <w:p w:rsidR="00BB1820" w:rsidRPr="00C82525" w:rsidRDefault="00BB1820" w:rsidP="00BB1820">
      <w:pPr>
        <w:pStyle w:val="ARCATArticle"/>
        <w:rPr>
          <w:lang w:val="fr-CA"/>
        </w:rPr>
      </w:pPr>
      <w:r w:rsidRPr="00C82525">
        <w:rPr>
          <w:lang w:val="fr-CA"/>
        </w:rPr>
        <w:t>RÉFÉRENCES</w:t>
      </w:r>
    </w:p>
    <w:p w:rsidR="00BB1820" w:rsidRPr="00C82525" w:rsidRDefault="00BB1820" w:rsidP="00BB1820">
      <w:pPr>
        <w:pStyle w:val="ARCATBlank"/>
        <w:rPr>
          <w:lang w:val="fr-CA"/>
        </w:rPr>
      </w:pPr>
    </w:p>
    <w:p w:rsidR="00BB1820" w:rsidRPr="00C82525" w:rsidRDefault="00BB1820" w:rsidP="00BB1820">
      <w:pPr>
        <w:pStyle w:val="ARCATNote"/>
        <w:rPr>
          <w:lang w:val="fr-CA"/>
        </w:rPr>
      </w:pPr>
      <w:r w:rsidRPr="00C82525">
        <w:rPr>
          <w:lang w:val="fr-CA"/>
        </w:rPr>
        <w:t>** REMARQUE AU RÉDACTEUR ** Supprimer les références de la liste ci-dessous qui ne sont pas exigées par le texte de la section modifiée.</w:t>
      </w:r>
    </w:p>
    <w:p w:rsidR="00BB1820" w:rsidRPr="00C82525" w:rsidRDefault="00BB1820" w:rsidP="00BB1820">
      <w:pPr>
        <w:pStyle w:val="ARCATParagraph"/>
        <w:rPr>
          <w:lang w:val="fr-CA"/>
        </w:rPr>
      </w:pPr>
      <w:r w:rsidRPr="00C82525">
        <w:rPr>
          <w:lang w:val="fr-CA"/>
        </w:rPr>
        <w:t>National Electrical</w:t>
      </w:r>
      <w:r w:rsidR="001273A1">
        <w:rPr>
          <w:lang w:val="fr-CA"/>
        </w:rPr>
        <w:t xml:space="preserve"> </w:t>
      </w:r>
      <w:r w:rsidRPr="00C82525">
        <w:rPr>
          <w:lang w:val="fr-CA"/>
        </w:rPr>
        <w:t>Manufacturers Association (NEMA) :</w:t>
      </w:r>
      <w:r w:rsidR="001273A1">
        <w:rPr>
          <w:lang w:val="fr-CA"/>
        </w:rPr>
        <w:t xml:space="preserve"> </w:t>
      </w:r>
      <w:r w:rsidRPr="00C82525">
        <w:rPr>
          <w:lang w:val="fr-CA"/>
        </w:rPr>
        <w:t>NEMA ICS 6 – Contrôle industriel et systèmes :</w:t>
      </w:r>
      <w:r w:rsidR="001273A1">
        <w:rPr>
          <w:lang w:val="fr-CA"/>
        </w:rPr>
        <w:t xml:space="preserve"> </w:t>
      </w:r>
      <w:r w:rsidRPr="00C82525">
        <w:rPr>
          <w:lang w:val="fr-CA"/>
        </w:rPr>
        <w:t>Enceintes.</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Underwriters</w:t>
      </w:r>
      <w:r w:rsidR="001273A1">
        <w:rPr>
          <w:lang w:val="fr-CA"/>
        </w:rPr>
        <w:t xml:space="preserve"> </w:t>
      </w:r>
      <w:r w:rsidRPr="00C82525">
        <w:rPr>
          <w:lang w:val="fr-CA"/>
        </w:rPr>
        <w:t>Laboratories (UL) :</w:t>
      </w:r>
      <w:r w:rsidR="001273A1">
        <w:rPr>
          <w:lang w:val="fr-CA"/>
        </w:rPr>
        <w:t xml:space="preserve"> </w:t>
      </w:r>
      <w:r w:rsidRPr="00C82525">
        <w:rPr>
          <w:lang w:val="fr-CA"/>
        </w:rPr>
        <w:t>UL 325 – Norme de sécurité pour les actionneurs et systèmes de portes, rideaux, barrières, persiennes et fenêtres.</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Underwriters</w:t>
      </w:r>
      <w:r w:rsidR="001273A1">
        <w:rPr>
          <w:lang w:val="fr-CA"/>
        </w:rPr>
        <w:t xml:space="preserve"> </w:t>
      </w:r>
      <w:r w:rsidRPr="00C82525">
        <w:rPr>
          <w:lang w:val="fr-CA"/>
        </w:rPr>
        <w:t>Laboratories (UL) :</w:t>
      </w:r>
      <w:r w:rsidR="001273A1">
        <w:rPr>
          <w:lang w:val="fr-CA"/>
        </w:rPr>
        <w:t xml:space="preserve"> </w:t>
      </w:r>
      <w:r w:rsidRPr="00C82525">
        <w:rPr>
          <w:lang w:val="fr-CA"/>
        </w:rPr>
        <w:t>UL 991 – Norme des essais de commandes de sécurité utilisant des dispositifs à semi-conducteurs.</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Organisation internationale de normalisation :</w:t>
      </w:r>
      <w:r w:rsidR="001273A1">
        <w:rPr>
          <w:lang w:val="fr-CA"/>
        </w:rPr>
        <w:t xml:space="preserve"> </w:t>
      </w:r>
      <w:r w:rsidRPr="00C82525">
        <w:rPr>
          <w:lang w:val="fr-CA"/>
        </w:rPr>
        <w:t>ISO 9001 – Systèmes de gestion de la qualité.</w:t>
      </w:r>
    </w:p>
    <w:p w:rsidR="00BB1820" w:rsidRPr="00C82525" w:rsidRDefault="00BB1820" w:rsidP="00BB1820">
      <w:pPr>
        <w:pStyle w:val="ARCATBlank"/>
        <w:rPr>
          <w:lang w:val="fr-CA"/>
        </w:rPr>
      </w:pPr>
    </w:p>
    <w:p w:rsidR="00BB1820" w:rsidRPr="00C82525" w:rsidRDefault="00BB1820" w:rsidP="00BB1820">
      <w:pPr>
        <w:pStyle w:val="ARCATArticle"/>
        <w:rPr>
          <w:lang w:val="fr-CA"/>
        </w:rPr>
      </w:pPr>
      <w:r w:rsidRPr="00C82525">
        <w:rPr>
          <w:lang w:val="fr-CA"/>
        </w:rPr>
        <w:t>SOUMISSIONS</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Soumettre en vertu des dispositions de la section 01300.</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Données de produit :</w:t>
      </w:r>
      <w:r w:rsidR="001273A1">
        <w:rPr>
          <w:lang w:val="fr-CA"/>
        </w:rPr>
        <w:t xml:space="preserve"> </w:t>
      </w:r>
      <w:r w:rsidRPr="00C82525">
        <w:rPr>
          <w:lang w:val="fr-CA"/>
        </w:rPr>
        <w:t>Liste d’équipement, description du système, schémas de câblage électrique pour l’installation et fiches de données du fabricant pour chaque produit à utiliser incluant :</w:t>
      </w:r>
    </w:p>
    <w:p w:rsidR="00BB1820" w:rsidRPr="00C82525" w:rsidRDefault="00BB1820" w:rsidP="00BB1820">
      <w:pPr>
        <w:pStyle w:val="ARCATSubPara"/>
        <w:rPr>
          <w:lang w:val="fr-CA"/>
        </w:rPr>
      </w:pPr>
      <w:r w:rsidRPr="00C82525">
        <w:rPr>
          <w:lang w:val="fr-CA"/>
        </w:rPr>
        <w:t>Instructions et recommandations de préparation.</w:t>
      </w:r>
    </w:p>
    <w:p w:rsidR="00BB1820" w:rsidRPr="00C82525" w:rsidRDefault="00BB1820" w:rsidP="00BB1820">
      <w:pPr>
        <w:pStyle w:val="ARCATSubPara"/>
        <w:rPr>
          <w:lang w:val="fr-CA"/>
        </w:rPr>
      </w:pPr>
      <w:r w:rsidRPr="00C82525">
        <w:rPr>
          <w:lang w:val="fr-CA"/>
        </w:rPr>
        <w:lastRenderedPageBreak/>
        <w:t>Exigences et recommandations d’entreposage et de manipulation.</w:t>
      </w:r>
    </w:p>
    <w:p w:rsidR="00BB1820" w:rsidRPr="00C82525" w:rsidRDefault="00BB1820" w:rsidP="00BB1820">
      <w:pPr>
        <w:pStyle w:val="ARCATSubPara"/>
        <w:rPr>
          <w:lang w:val="fr-CA"/>
        </w:rPr>
      </w:pPr>
      <w:r w:rsidRPr="00C82525">
        <w:rPr>
          <w:lang w:val="fr-CA"/>
        </w:rPr>
        <w:t>Méthodes d’installation.</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Dessins d’atelier :</w:t>
      </w:r>
      <w:r w:rsidR="001273A1">
        <w:rPr>
          <w:lang w:val="fr-CA"/>
        </w:rPr>
        <w:t xml:space="preserve"> </w:t>
      </w:r>
      <w:r w:rsidRPr="00C82525">
        <w:rPr>
          <w:lang w:val="fr-CA"/>
        </w:rPr>
        <w:t xml:space="preserve">Soumettre les dessins d’atelier montrant la disposition, les profils et les composants des produits, y compris l’ancrage, les conditions de bordure et les accessoires. </w:t>
      </w:r>
    </w:p>
    <w:p w:rsidR="00BB1820" w:rsidRPr="00C82525" w:rsidRDefault="00BB1820" w:rsidP="00BB1820">
      <w:pPr>
        <w:pStyle w:val="ARCATSubPara"/>
        <w:rPr>
          <w:lang w:val="fr-CA"/>
        </w:rPr>
      </w:pPr>
      <w:r w:rsidRPr="00C82525">
        <w:rPr>
          <w:lang w:val="fr-CA"/>
        </w:rPr>
        <w:t>Modes d’emploi, manuels d’installation et d’entretien, y compris les schémas de câblage.</w:t>
      </w:r>
    </w:p>
    <w:p w:rsidR="00BB1820" w:rsidRPr="00C82525" w:rsidRDefault="00BB1820" w:rsidP="00BB1820">
      <w:pPr>
        <w:pStyle w:val="ARCATSubPara"/>
        <w:rPr>
          <w:lang w:val="fr-CA"/>
        </w:rPr>
      </w:pPr>
      <w:r w:rsidRPr="00C82525">
        <w:rPr>
          <w:lang w:val="fr-CA"/>
        </w:rPr>
        <w:t xml:space="preserve">Câbles verticaux, dispositions et schémas de câblage spéciaux montrant tout changement aux dessins standards. </w:t>
      </w:r>
    </w:p>
    <w:p w:rsidR="00BB1820" w:rsidRPr="00C82525" w:rsidRDefault="00BB1820" w:rsidP="00BB1820">
      <w:pPr>
        <w:pStyle w:val="ARCATBlank"/>
        <w:rPr>
          <w:lang w:val="fr-CA"/>
        </w:rPr>
      </w:pPr>
    </w:p>
    <w:p w:rsidR="00BB1820" w:rsidRPr="00C82525" w:rsidRDefault="00BB1820" w:rsidP="00BB1820">
      <w:pPr>
        <w:pStyle w:val="ARCATArticle"/>
        <w:rPr>
          <w:lang w:val="fr-CA"/>
        </w:rPr>
      </w:pPr>
      <w:r w:rsidRPr="00C82525">
        <w:rPr>
          <w:lang w:val="fr-CA"/>
        </w:rPr>
        <w:t>LIVRAISON, ENTREPOSAGE ET MANIPULATION</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 xml:space="preserve">Livrer, entreposer et manipuler les matériaux et produits en stricte conformité avec les instructions du fabricant et les normes de l’industrie. </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Entreposer les produits à l’intérieur dans leurs contenants et emballages du fabricant originaux, les étiquettes identifiant clairement le nom du produit et le fabricant. Protéger contre les dommages.</w:t>
      </w:r>
    </w:p>
    <w:p w:rsidR="00BB1820" w:rsidRPr="00C82525" w:rsidRDefault="00BB1820" w:rsidP="00BB1820">
      <w:pPr>
        <w:pStyle w:val="ARCATBlank"/>
        <w:rPr>
          <w:lang w:val="fr-CA"/>
        </w:rPr>
      </w:pPr>
    </w:p>
    <w:p w:rsidR="00BB1820" w:rsidRPr="00C82525" w:rsidRDefault="00BB1820" w:rsidP="00BB1820">
      <w:pPr>
        <w:pStyle w:val="ARCATArticle"/>
        <w:rPr>
          <w:lang w:val="fr-CA"/>
        </w:rPr>
      </w:pPr>
      <w:r w:rsidRPr="00C82525">
        <w:rPr>
          <w:lang w:val="fr-CA"/>
        </w:rPr>
        <w:t xml:space="preserve">ASSURANCE DE LA QUALITÉ </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Qualifications du fabricant :</w:t>
      </w:r>
      <w:r w:rsidR="001273A1">
        <w:rPr>
          <w:lang w:val="fr-CA"/>
        </w:rPr>
        <w:t xml:space="preserve"> </w:t>
      </w:r>
      <w:r w:rsidRPr="00C82525">
        <w:rPr>
          <w:lang w:val="fr-CA"/>
        </w:rPr>
        <w:t>Fabricant certifié ISO 9001.</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Compétences de l’installateur :</w:t>
      </w:r>
      <w:r w:rsidR="001273A1">
        <w:rPr>
          <w:lang w:val="fr-CA"/>
        </w:rPr>
        <w:t xml:space="preserve"> </w:t>
      </w:r>
      <w:r w:rsidRPr="00C82525">
        <w:rPr>
          <w:lang w:val="fr-CA"/>
        </w:rPr>
        <w:t>Installation effectuée par le maître des travaux autorisé par l’usine et formé spécialement en systèmes d’actionneur de barrière du type mentionné dans cette section.</w:t>
      </w:r>
    </w:p>
    <w:p w:rsidR="00BB1820" w:rsidRPr="00C82525" w:rsidRDefault="00BB1820" w:rsidP="00BB1820">
      <w:pPr>
        <w:pStyle w:val="ARCATSubPara"/>
        <w:rPr>
          <w:lang w:val="fr-CA"/>
        </w:rPr>
      </w:pPr>
      <w:r w:rsidRPr="00C82525">
        <w:rPr>
          <w:lang w:val="fr-CA"/>
        </w:rPr>
        <w:t>Fournir la documentation de la disponibilité d’un service d’entretien et de réparation pour les situations d’urgence.</w:t>
      </w:r>
    </w:p>
    <w:p w:rsidR="00BB1820" w:rsidRPr="00C82525" w:rsidRDefault="00BB1820" w:rsidP="00BB1820">
      <w:pPr>
        <w:pStyle w:val="ARCATSubPara"/>
        <w:rPr>
          <w:lang w:val="fr-CA"/>
        </w:rPr>
      </w:pPr>
      <w:r w:rsidRPr="00C82525">
        <w:rPr>
          <w:lang w:val="fr-CA"/>
        </w:rPr>
        <w:t>Fournir un entretien trimestriel pendant un (1) an suivant l’achèvement presque complet du projet.</w:t>
      </w:r>
    </w:p>
    <w:p w:rsidR="00BB1820" w:rsidRPr="00C82525" w:rsidRDefault="00BB1820" w:rsidP="00BB1820">
      <w:pPr>
        <w:pStyle w:val="ARCATBlank"/>
        <w:rPr>
          <w:lang w:val="fr-CA"/>
        </w:rPr>
      </w:pPr>
    </w:p>
    <w:p w:rsidR="00BB1820" w:rsidRPr="00C82525" w:rsidRDefault="00BB1820" w:rsidP="00BB1820">
      <w:pPr>
        <w:pStyle w:val="ARCATArticle"/>
        <w:rPr>
          <w:lang w:val="fr-CA"/>
        </w:rPr>
      </w:pPr>
      <w:r w:rsidRPr="00C82525">
        <w:rPr>
          <w:lang w:val="fr-CA"/>
        </w:rPr>
        <w:t>GARANTIE</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Garantie limitée standard du fabricant :</w:t>
      </w:r>
      <w:r w:rsidR="001273A1">
        <w:rPr>
          <w:lang w:val="fr-CA"/>
        </w:rPr>
        <w:t xml:space="preserve"> </w:t>
      </w:r>
    </w:p>
    <w:p w:rsidR="00BB1820" w:rsidRPr="00C82525" w:rsidRDefault="00BB1820" w:rsidP="00BB1820">
      <w:pPr>
        <w:pStyle w:val="ARCATSubPara"/>
        <w:rPr>
          <w:lang w:val="fr-CA"/>
        </w:rPr>
      </w:pPr>
      <w:r w:rsidRPr="00C82525">
        <w:rPr>
          <w:lang w:val="fr-CA"/>
        </w:rPr>
        <w:t>Période de garantie :</w:t>
      </w:r>
      <w:r w:rsidR="001273A1">
        <w:rPr>
          <w:lang w:val="fr-CA"/>
        </w:rPr>
        <w:t xml:space="preserve"> </w:t>
      </w:r>
      <w:r w:rsidRPr="00C82525">
        <w:rPr>
          <w:lang w:val="fr-CA"/>
        </w:rPr>
        <w:t>2 ans.</w:t>
      </w:r>
    </w:p>
    <w:p w:rsidR="00BB1820" w:rsidRPr="00C82525" w:rsidRDefault="00BB1820" w:rsidP="00BB1820">
      <w:pPr>
        <w:pStyle w:val="ARCATBlank"/>
        <w:rPr>
          <w:lang w:val="fr-CA"/>
        </w:rPr>
      </w:pPr>
    </w:p>
    <w:p w:rsidR="00BB1820" w:rsidRPr="00C82525" w:rsidRDefault="00BB1820" w:rsidP="00BB1820">
      <w:pPr>
        <w:pStyle w:val="ARCATBlank"/>
        <w:rPr>
          <w:lang w:val="fr-CA"/>
        </w:rPr>
      </w:pPr>
    </w:p>
    <w:p w:rsidR="00BB1820" w:rsidRPr="00C82525" w:rsidRDefault="00BB1820" w:rsidP="00BB1820">
      <w:pPr>
        <w:pStyle w:val="ARCATPart"/>
        <w:rPr>
          <w:lang w:val="fr-CA"/>
        </w:rPr>
      </w:pPr>
      <w:r w:rsidRPr="00C82525">
        <w:rPr>
          <w:lang w:val="fr-CA"/>
        </w:rPr>
        <w:t>PRODUITS</w:t>
      </w:r>
    </w:p>
    <w:p w:rsidR="00BB1820" w:rsidRPr="00C82525" w:rsidRDefault="00BB1820" w:rsidP="00BB1820">
      <w:pPr>
        <w:pStyle w:val="ARCATBlank"/>
        <w:rPr>
          <w:lang w:val="fr-CA"/>
        </w:rPr>
      </w:pPr>
    </w:p>
    <w:p w:rsidR="00BB1820" w:rsidRPr="00C82525" w:rsidRDefault="00BB1820" w:rsidP="00BB1820">
      <w:pPr>
        <w:pStyle w:val="ARCATArticle"/>
        <w:rPr>
          <w:lang w:val="fr-CA"/>
        </w:rPr>
      </w:pPr>
      <w:r w:rsidRPr="00C82525">
        <w:rPr>
          <w:lang w:val="fr-CA"/>
        </w:rPr>
        <w:t>FABRICANTS</w:t>
      </w:r>
    </w:p>
    <w:p w:rsidR="00BB1820" w:rsidRPr="00C82525" w:rsidRDefault="00BB1820" w:rsidP="00BB1820">
      <w:pPr>
        <w:pStyle w:val="ARCATBlank"/>
        <w:rPr>
          <w:lang w:val="fr-CA"/>
        </w:rPr>
      </w:pPr>
    </w:p>
    <w:p w:rsidR="00BB1820" w:rsidRPr="002578AD" w:rsidRDefault="00BB1820" w:rsidP="00BB1820">
      <w:pPr>
        <w:pStyle w:val="ARCATParagraph"/>
      </w:pPr>
      <w:r w:rsidRPr="002578AD">
        <w:t>Fabricant acceptable :</w:t>
      </w:r>
      <w:r w:rsidR="001273A1" w:rsidRPr="002578AD">
        <w:t xml:space="preserve"> </w:t>
      </w:r>
      <w:r w:rsidRPr="002578AD">
        <w:t xml:space="preserve">LiftMaster; </w:t>
      </w:r>
      <w:r w:rsidR="002578AD">
        <w:t>300 Windsor Drive; Oak</w:t>
      </w:r>
      <w:r w:rsidR="00C71440">
        <w:t xml:space="preserve"> </w:t>
      </w:r>
      <w:bookmarkStart w:id="0" w:name="_GoBack"/>
      <w:bookmarkEnd w:id="0"/>
      <w:r w:rsidR="002578AD">
        <w:t>B</w:t>
      </w:r>
      <w:r w:rsidR="001273A1">
        <w:t>rook, IL 60523</w:t>
      </w:r>
      <w:r w:rsidRPr="002578AD">
        <w:t>. ASD.</w:t>
      </w:r>
      <w:r w:rsidR="001273A1" w:rsidRPr="002578AD">
        <w:t xml:space="preserve"> </w:t>
      </w:r>
      <w:r w:rsidRPr="002578AD">
        <w:t>Sans frais :</w:t>
      </w:r>
      <w:r w:rsidR="001273A1" w:rsidRPr="002578AD">
        <w:t xml:space="preserve"> </w:t>
      </w:r>
      <w:r w:rsidRPr="002578AD">
        <w:t>800 282.6225. Courriel :</w:t>
      </w:r>
      <w:r w:rsidR="001273A1" w:rsidRPr="002578AD">
        <w:t xml:space="preserve"> </w:t>
      </w:r>
      <w:r w:rsidRPr="002578AD">
        <w:t>specs@LiftMaster.com.</w:t>
      </w:r>
      <w:r w:rsidR="001273A1" w:rsidRPr="002578AD">
        <w:t xml:space="preserve"> </w:t>
      </w:r>
      <w:r w:rsidRPr="002578AD">
        <w:t>Site Web :</w:t>
      </w:r>
      <w:r w:rsidR="001273A1" w:rsidRPr="002578AD">
        <w:t xml:space="preserve"> </w:t>
      </w:r>
      <w:r w:rsidRPr="002578AD">
        <w:t>LiftMaster.com.</w:t>
      </w:r>
    </w:p>
    <w:p w:rsidR="00BB1820" w:rsidRPr="002578AD" w:rsidRDefault="00BB1820" w:rsidP="00BB1820">
      <w:pPr>
        <w:pStyle w:val="ARCATBlank"/>
      </w:pPr>
    </w:p>
    <w:p w:rsidR="00BB1820" w:rsidRPr="00C82525" w:rsidRDefault="00BB1820" w:rsidP="00BB1820">
      <w:pPr>
        <w:pStyle w:val="ARCATNote"/>
        <w:rPr>
          <w:lang w:val="fr-CA"/>
        </w:rPr>
      </w:pPr>
      <w:r w:rsidRPr="00C82525">
        <w:rPr>
          <w:lang w:val="fr-CA"/>
        </w:rPr>
        <w:t>** REMARQUE AU RÉDACTEUR ** Supprimer l’un des deux paragraphes suivants : coordonner avec les exigences de la section Division 1 sur les options et substitutions de produit.</w:t>
      </w:r>
    </w:p>
    <w:p w:rsidR="00BB1820" w:rsidRPr="00C82525" w:rsidRDefault="00BB1820" w:rsidP="00BB1820">
      <w:pPr>
        <w:pStyle w:val="ARCATParagraph"/>
        <w:rPr>
          <w:lang w:val="fr-CA"/>
        </w:rPr>
      </w:pPr>
      <w:r w:rsidRPr="00C82525">
        <w:rPr>
          <w:lang w:val="fr-CA"/>
        </w:rPr>
        <w:t>Substitutions :</w:t>
      </w:r>
      <w:r w:rsidR="001273A1">
        <w:rPr>
          <w:lang w:val="fr-CA"/>
        </w:rPr>
        <w:t xml:space="preserve"> </w:t>
      </w:r>
      <w:r w:rsidRPr="00C82525">
        <w:rPr>
          <w:lang w:val="fr-CA"/>
        </w:rPr>
        <w:t>non permises.</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Les demandes de substitutions seront prises en compte conformément aux dispositions de la Section 01600.</w:t>
      </w:r>
    </w:p>
    <w:p w:rsidR="00BB1820" w:rsidRPr="00C82525" w:rsidRDefault="00BB1820" w:rsidP="00BB1820">
      <w:pPr>
        <w:pStyle w:val="ARCATBlank"/>
        <w:rPr>
          <w:lang w:val="fr-CA"/>
        </w:rPr>
      </w:pPr>
    </w:p>
    <w:p w:rsidR="00BB1820" w:rsidRPr="00C82525" w:rsidRDefault="00BB1820" w:rsidP="00BB1820">
      <w:pPr>
        <w:pStyle w:val="ARCATArticle"/>
        <w:rPr>
          <w:lang w:val="fr-CA"/>
        </w:rPr>
      </w:pPr>
      <w:r w:rsidRPr="00C82525">
        <w:rPr>
          <w:lang w:val="fr-CA"/>
        </w:rPr>
        <w:t xml:space="preserve">ACTIONNEURS DE </w:t>
      </w:r>
      <w:r w:rsidR="00895143">
        <w:rPr>
          <w:lang w:val="fr-CA"/>
        </w:rPr>
        <w:t>BARRIÈRE</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Actionneurs de barrière :</w:t>
      </w:r>
      <w:r w:rsidR="001273A1">
        <w:rPr>
          <w:lang w:val="fr-CA"/>
        </w:rPr>
        <w:t xml:space="preserve"> </w:t>
      </w:r>
      <w:r w:rsidRPr="00C82525">
        <w:rPr>
          <w:lang w:val="fr-CA"/>
        </w:rPr>
        <w:t>Actionneur de barrière coulissante industrielle à engrenage LiftMaster SL585.</w:t>
      </w:r>
    </w:p>
    <w:p w:rsidR="00BB1820" w:rsidRPr="00C82525" w:rsidRDefault="00BB1820" w:rsidP="00BB1820">
      <w:pPr>
        <w:pStyle w:val="ARCATSubPara"/>
        <w:rPr>
          <w:lang w:val="fr-CA"/>
        </w:rPr>
      </w:pPr>
      <w:r w:rsidRPr="00C82525">
        <w:rPr>
          <w:lang w:val="fr-CA"/>
        </w:rPr>
        <w:t>Conformité :</w:t>
      </w:r>
      <w:r w:rsidR="001273A1">
        <w:rPr>
          <w:lang w:val="fr-CA"/>
        </w:rPr>
        <w:t xml:space="preserve"> </w:t>
      </w:r>
      <w:r w:rsidRPr="00C82525">
        <w:rPr>
          <w:lang w:val="fr-CA"/>
        </w:rPr>
        <w:t>Homologué UL. Conforme aux normes UL 325, UL 991 et CSA C22.2 n</w:t>
      </w:r>
      <w:r w:rsidRPr="002578AD">
        <w:rPr>
          <w:vertAlign w:val="superscript"/>
          <w:lang w:val="fr-CA"/>
        </w:rPr>
        <w:t>o</w:t>
      </w:r>
      <w:r w:rsidRPr="00C82525">
        <w:rPr>
          <w:lang w:val="fr-CA"/>
        </w:rPr>
        <w:t> 247.</w:t>
      </w:r>
    </w:p>
    <w:p w:rsidR="00BB1820" w:rsidRPr="00C82525" w:rsidRDefault="00BB1820" w:rsidP="00BB1820">
      <w:pPr>
        <w:pStyle w:val="ARCATSubSub1"/>
        <w:rPr>
          <w:lang w:val="fr-CA"/>
        </w:rPr>
      </w:pPr>
      <w:r w:rsidRPr="00C82525">
        <w:rPr>
          <w:lang w:val="fr-CA"/>
        </w:rPr>
        <w:lastRenderedPageBreak/>
        <w:t>Ce modèle est prévu pour un usage dans les applications de barrière véhiculaire coulissante de classes I, II, III et IV.</w:t>
      </w:r>
    </w:p>
    <w:p w:rsidR="00BB1820" w:rsidRPr="00C82525" w:rsidRDefault="001273A1" w:rsidP="00BB1820">
      <w:pPr>
        <w:pStyle w:val="ARCATSubPara"/>
        <w:rPr>
          <w:lang w:val="fr-CA"/>
        </w:rPr>
      </w:pPr>
      <w:r>
        <w:rPr>
          <w:lang w:val="fr-CA"/>
        </w:rPr>
        <w:t xml:space="preserve"> </w:t>
      </w:r>
      <w:r w:rsidR="00BB1820" w:rsidRPr="00C82525">
        <w:rPr>
          <w:lang w:val="fr-CA"/>
        </w:rPr>
        <w:t>Entrées pour dispositifs de sécurité surveillés :</w:t>
      </w:r>
      <w:r>
        <w:rPr>
          <w:lang w:val="fr-CA"/>
        </w:rPr>
        <w:t xml:space="preserve"> </w:t>
      </w:r>
      <w:r w:rsidR="00BB1820" w:rsidRPr="00C82525">
        <w:rPr>
          <w:lang w:val="fr-CA"/>
        </w:rPr>
        <w:t>3 entrées par tableau (tableau principal et tableau d’extension) totalisant 6 entrées avec toute combinaison allant jusqu’à :</w:t>
      </w:r>
    </w:p>
    <w:p w:rsidR="00BB1820" w:rsidRPr="00C82525" w:rsidRDefault="00BB1820" w:rsidP="00BB1820">
      <w:pPr>
        <w:pStyle w:val="ARCATSubSub1"/>
        <w:rPr>
          <w:lang w:val="fr-CA"/>
        </w:rPr>
      </w:pPr>
      <w:r w:rsidRPr="00C82525">
        <w:rPr>
          <w:lang w:val="fr-CA"/>
        </w:rPr>
        <w:t>Tableau principal :</w:t>
      </w:r>
    </w:p>
    <w:p w:rsidR="00BB1820" w:rsidRPr="00C82525" w:rsidRDefault="00BB1820" w:rsidP="00BB1820">
      <w:pPr>
        <w:pStyle w:val="ARCATBlank"/>
        <w:numPr>
          <w:ilvl w:val="0"/>
          <w:numId w:val="62"/>
        </w:numPr>
        <w:rPr>
          <w:lang w:val="fr-CA"/>
        </w:rPr>
      </w:pPr>
      <w:r w:rsidRPr="00C82525">
        <w:rPr>
          <w:lang w:val="fr-CA"/>
        </w:rPr>
        <w:t>1 entrée de cellule photoélectrique surveillée de fermeture</w:t>
      </w:r>
    </w:p>
    <w:p w:rsidR="00BB1820" w:rsidRPr="00C82525" w:rsidRDefault="00BB1820" w:rsidP="00BB1820">
      <w:pPr>
        <w:pStyle w:val="ARCATBlank"/>
        <w:numPr>
          <w:ilvl w:val="0"/>
          <w:numId w:val="62"/>
        </w:numPr>
        <w:rPr>
          <w:lang w:val="fr-CA"/>
        </w:rPr>
      </w:pPr>
      <w:r w:rsidRPr="00C82525">
        <w:rPr>
          <w:lang w:val="fr-CA"/>
        </w:rPr>
        <w:t>1 entrée de cellule photoélectrique surveillée d’ouverture</w:t>
      </w:r>
    </w:p>
    <w:p w:rsidR="00BB1820" w:rsidRPr="00C82525" w:rsidRDefault="00BB1820" w:rsidP="00BB1820">
      <w:pPr>
        <w:pStyle w:val="ARCATBlank"/>
        <w:numPr>
          <w:ilvl w:val="0"/>
          <w:numId w:val="62"/>
        </w:numPr>
        <w:rPr>
          <w:lang w:val="fr-CA"/>
        </w:rPr>
      </w:pPr>
      <w:r w:rsidRPr="00C82525">
        <w:rPr>
          <w:lang w:val="fr-CA"/>
        </w:rPr>
        <w:t>1 entrée de bordure surveillée d’ouverture ou de cellule photoélectrique d’ouverture</w:t>
      </w:r>
    </w:p>
    <w:p w:rsidR="00BB1820" w:rsidRPr="00C82525" w:rsidRDefault="00BB1820" w:rsidP="00BB1820">
      <w:pPr>
        <w:pStyle w:val="ARCATSubSub1"/>
        <w:rPr>
          <w:lang w:val="fr-CA"/>
        </w:rPr>
      </w:pPr>
      <w:r w:rsidRPr="00C82525">
        <w:rPr>
          <w:lang w:val="fr-CA"/>
        </w:rPr>
        <w:t>Tableau d’extension</w:t>
      </w:r>
    </w:p>
    <w:p w:rsidR="00BB1820" w:rsidRPr="00C82525" w:rsidRDefault="00BB1820" w:rsidP="00BB1820">
      <w:pPr>
        <w:pStyle w:val="ARCATBlank"/>
        <w:numPr>
          <w:ilvl w:val="0"/>
          <w:numId w:val="63"/>
        </w:numPr>
        <w:rPr>
          <w:lang w:val="fr-CA"/>
        </w:rPr>
      </w:pPr>
      <w:r w:rsidRPr="00C82525">
        <w:rPr>
          <w:lang w:val="fr-CA"/>
        </w:rPr>
        <w:t>2 entrées pour bordure surveillée ou cellules photoélectriques surveillées (sélectionnables pour l’ouverture ou la fermeture).</w:t>
      </w:r>
    </w:p>
    <w:p w:rsidR="00BB1820" w:rsidRPr="00C82525" w:rsidRDefault="00BB1820" w:rsidP="00BB1820">
      <w:pPr>
        <w:pStyle w:val="ARCATBlank"/>
        <w:numPr>
          <w:ilvl w:val="0"/>
          <w:numId w:val="63"/>
        </w:numPr>
        <w:rPr>
          <w:lang w:val="fr-CA"/>
        </w:rPr>
      </w:pPr>
      <w:r w:rsidRPr="00C82525">
        <w:rPr>
          <w:lang w:val="fr-CA"/>
        </w:rPr>
        <w:t>1 entrée pour cellule photoélectrique surveillée (sélectionnable pour l’ouverture ou la fermeture).</w:t>
      </w:r>
    </w:p>
    <w:p w:rsidR="00BB1820" w:rsidRPr="00C82525" w:rsidRDefault="00BB1820" w:rsidP="00BB1820">
      <w:pPr>
        <w:pStyle w:val="ARCATSubSub1"/>
        <w:rPr>
          <w:lang w:val="fr-CA"/>
        </w:rPr>
      </w:pPr>
      <w:r w:rsidRPr="00C82525">
        <w:rPr>
          <w:lang w:val="fr-CA"/>
        </w:rPr>
        <w:t>8 bordures surveillées offertes lorsqu’un émetteur-récepteur est ajouté.</w:t>
      </w:r>
    </w:p>
    <w:p w:rsidR="00BB1820" w:rsidRPr="00C82525" w:rsidRDefault="00BB1820" w:rsidP="00BB1820">
      <w:pPr>
        <w:pStyle w:val="ARCATSubPara"/>
        <w:rPr>
          <w:lang w:val="fr-CA"/>
        </w:rPr>
      </w:pPr>
      <w:r w:rsidRPr="00C82525">
        <w:rPr>
          <w:lang w:val="fr-CA"/>
        </w:rPr>
        <w:t>Garantie :</w:t>
      </w:r>
      <w:r w:rsidR="001273A1">
        <w:rPr>
          <w:lang w:val="fr-CA"/>
        </w:rPr>
        <w:t xml:space="preserve"> </w:t>
      </w:r>
      <w:r w:rsidRPr="00C82525">
        <w:rPr>
          <w:lang w:val="fr-CA"/>
        </w:rPr>
        <w:t>2 ans.</w:t>
      </w:r>
    </w:p>
    <w:p w:rsidR="00BB1820" w:rsidRPr="00C82525" w:rsidRDefault="00BB1820" w:rsidP="00BB1820">
      <w:pPr>
        <w:pStyle w:val="ARCATSubPara"/>
        <w:rPr>
          <w:lang w:val="fr-CA"/>
        </w:rPr>
      </w:pPr>
      <w:r w:rsidRPr="00C82525">
        <w:rPr>
          <w:lang w:val="fr-CA"/>
        </w:rPr>
        <w:t>Vitesse de l’actionneur :</w:t>
      </w:r>
      <w:r w:rsidR="001273A1">
        <w:rPr>
          <w:lang w:val="fr-CA"/>
        </w:rPr>
        <w:t xml:space="preserve"> </w:t>
      </w:r>
      <w:r w:rsidRPr="00C82525">
        <w:rPr>
          <w:lang w:val="fr-CA"/>
        </w:rPr>
        <w:t>279,4 mm (11 po) par seconde.</w:t>
      </w:r>
    </w:p>
    <w:p w:rsidR="00BB1820" w:rsidRPr="00C82525" w:rsidRDefault="00BB1820" w:rsidP="00BB1820">
      <w:pPr>
        <w:pStyle w:val="ARCATNote"/>
        <w:rPr>
          <w:lang w:val="fr-CA"/>
        </w:rPr>
      </w:pPr>
      <w:r w:rsidRPr="00C82525">
        <w:rPr>
          <w:lang w:val="fr-CA"/>
        </w:rPr>
        <w:t>** REMARQUE AU RÉDACTEUR ** Supprimer les options de puissance non exigées.</w:t>
      </w:r>
    </w:p>
    <w:p w:rsidR="00BB1820" w:rsidRPr="00C82525" w:rsidRDefault="00BB1820" w:rsidP="00BB1820">
      <w:pPr>
        <w:pStyle w:val="ARCATSubPara"/>
        <w:rPr>
          <w:lang w:val="fr-CA"/>
        </w:rPr>
      </w:pPr>
      <w:r w:rsidRPr="00C82525">
        <w:rPr>
          <w:lang w:val="fr-CA"/>
        </w:rPr>
        <w:t>Exigences de puissance électrique :</w:t>
      </w:r>
      <w:r w:rsidR="001273A1">
        <w:rPr>
          <w:lang w:val="fr-CA"/>
        </w:rPr>
        <w:t xml:space="preserve"> </w:t>
      </w:r>
    </w:p>
    <w:p w:rsidR="00BB1820" w:rsidRPr="00C82525" w:rsidRDefault="00BB1820" w:rsidP="00BB1820">
      <w:pPr>
        <w:pStyle w:val="ARCATSubSub1"/>
        <w:rPr>
          <w:lang w:val="fr-CA"/>
        </w:rPr>
      </w:pPr>
      <w:r w:rsidRPr="00C82525">
        <w:rPr>
          <w:lang w:val="fr-CA"/>
        </w:rPr>
        <w:t>115/208/230 V c. a., monophasé, 60 Hz.</w:t>
      </w:r>
    </w:p>
    <w:p w:rsidR="00BB1820" w:rsidRPr="002578AD" w:rsidRDefault="00BB1820" w:rsidP="00BB1820">
      <w:pPr>
        <w:pStyle w:val="ARCATSubSub1"/>
      </w:pPr>
      <w:r w:rsidRPr="002578AD">
        <w:t>208/230/460/575 V c. a., triphasé, 60 Hz.</w:t>
      </w:r>
    </w:p>
    <w:p w:rsidR="00BB1820" w:rsidRPr="00C82525" w:rsidRDefault="00BB1820" w:rsidP="00BB1820">
      <w:pPr>
        <w:pStyle w:val="ARCATSubPara"/>
        <w:rPr>
          <w:lang w:val="fr-CA"/>
        </w:rPr>
      </w:pPr>
      <w:r w:rsidRPr="00C82525">
        <w:rPr>
          <w:lang w:val="fr-CA"/>
        </w:rPr>
        <w:t>Exigences de puissance électrique accessoire :</w:t>
      </w:r>
      <w:r w:rsidR="001273A1">
        <w:rPr>
          <w:lang w:val="fr-CA"/>
        </w:rPr>
        <w:t xml:space="preserve"> </w:t>
      </w:r>
      <w:r w:rsidRPr="00C82525">
        <w:rPr>
          <w:lang w:val="fr-CA"/>
        </w:rPr>
        <w:t>24 V c. a.</w:t>
      </w:r>
    </w:p>
    <w:p w:rsidR="00BB1820" w:rsidRPr="00C82525" w:rsidRDefault="00BB1820" w:rsidP="00BB1820">
      <w:pPr>
        <w:pStyle w:val="ARCATSubSub1"/>
        <w:rPr>
          <w:lang w:val="fr-CA"/>
        </w:rPr>
      </w:pPr>
      <w:r w:rsidRPr="00C82525">
        <w:rPr>
          <w:lang w:val="fr-CA"/>
        </w:rPr>
        <w:t>Tableau principal :</w:t>
      </w:r>
      <w:r w:rsidR="001273A1">
        <w:rPr>
          <w:lang w:val="fr-CA"/>
        </w:rPr>
        <w:t xml:space="preserve"> </w:t>
      </w:r>
      <w:r w:rsidRPr="00C82525">
        <w:rPr>
          <w:lang w:val="fr-CA"/>
        </w:rPr>
        <w:t>12 V c. a., maximum de 500 mA.</w:t>
      </w:r>
    </w:p>
    <w:p w:rsidR="00BB1820" w:rsidRPr="00C82525" w:rsidRDefault="00BB1820" w:rsidP="00BB1820">
      <w:pPr>
        <w:pStyle w:val="ARCATSubSub1"/>
        <w:rPr>
          <w:lang w:val="fr-CA"/>
        </w:rPr>
      </w:pPr>
      <w:r w:rsidRPr="00C82525">
        <w:rPr>
          <w:lang w:val="fr-CA"/>
        </w:rPr>
        <w:t>Bornier :</w:t>
      </w:r>
    </w:p>
    <w:p w:rsidR="00BB1820" w:rsidRPr="00C82525" w:rsidRDefault="00BB1820" w:rsidP="00BB1820">
      <w:pPr>
        <w:pStyle w:val="ARCATBlank"/>
        <w:numPr>
          <w:ilvl w:val="0"/>
          <w:numId w:val="106"/>
        </w:numPr>
        <w:rPr>
          <w:lang w:val="fr-CA"/>
        </w:rPr>
      </w:pPr>
      <w:r w:rsidRPr="00C82525">
        <w:rPr>
          <w:lang w:val="fr-CA"/>
        </w:rPr>
        <w:t>2,2 A maximum pour 115/208-230 V c. a., monophasé.</w:t>
      </w:r>
    </w:p>
    <w:p w:rsidR="00BB1820" w:rsidRPr="00C82525" w:rsidRDefault="00BB1820" w:rsidP="00BB1820">
      <w:pPr>
        <w:pStyle w:val="ARCATBlank"/>
        <w:numPr>
          <w:ilvl w:val="0"/>
          <w:numId w:val="106"/>
        </w:numPr>
        <w:rPr>
          <w:lang w:val="fr-CA"/>
        </w:rPr>
      </w:pPr>
      <w:r w:rsidRPr="00C82525">
        <w:rPr>
          <w:lang w:val="fr-CA"/>
        </w:rPr>
        <w:t>2,2 A maximum pour 208/230-460 V c. a., triphasé.</w:t>
      </w:r>
    </w:p>
    <w:p w:rsidR="00BB1820" w:rsidRPr="00C82525" w:rsidRDefault="00BB1820" w:rsidP="00BB1820">
      <w:pPr>
        <w:pStyle w:val="ARCATBlank"/>
        <w:numPr>
          <w:ilvl w:val="0"/>
          <w:numId w:val="106"/>
        </w:numPr>
        <w:rPr>
          <w:lang w:val="fr-CA"/>
        </w:rPr>
      </w:pPr>
      <w:r w:rsidRPr="00C82525">
        <w:rPr>
          <w:lang w:val="fr-CA"/>
        </w:rPr>
        <w:t>1,3 A maximum pour 575 V c. a., triphasé</w:t>
      </w:r>
    </w:p>
    <w:p w:rsidR="00BB1820" w:rsidRPr="00C82525" w:rsidRDefault="00BB1820" w:rsidP="00BB1820">
      <w:pPr>
        <w:pStyle w:val="ARCATSubPara"/>
        <w:rPr>
          <w:lang w:val="fr-CA"/>
        </w:rPr>
      </w:pPr>
      <w:r w:rsidRPr="00C82525">
        <w:rPr>
          <w:lang w:val="fr-CA"/>
        </w:rPr>
        <w:t>Démultiplicateur :</w:t>
      </w:r>
      <w:r w:rsidR="001273A1">
        <w:rPr>
          <w:lang w:val="fr-CA"/>
        </w:rPr>
        <w:t xml:space="preserve"> </w:t>
      </w:r>
      <w:r w:rsidRPr="00C82525">
        <w:rPr>
          <w:lang w:val="fr-CA"/>
        </w:rPr>
        <w:t>Réducteur à engrenages à vis sans fin de 20:1 à bain d’huile synthétique.</w:t>
      </w:r>
    </w:p>
    <w:p w:rsidR="00BB1820" w:rsidRPr="00C82525" w:rsidRDefault="00BB1820" w:rsidP="00BB1820">
      <w:pPr>
        <w:pStyle w:val="ARCATNote"/>
        <w:rPr>
          <w:lang w:val="fr-CA"/>
        </w:rPr>
      </w:pPr>
      <w:r w:rsidRPr="00C82525">
        <w:rPr>
          <w:lang w:val="fr-CA"/>
        </w:rPr>
        <w:t>** REMARQUE AU RÉDACTEUR ** Supprimer les options de moteur non exigées.</w:t>
      </w:r>
    </w:p>
    <w:p w:rsidR="00BB1820" w:rsidRPr="00C82525" w:rsidRDefault="00BB1820" w:rsidP="00BB1820">
      <w:pPr>
        <w:pStyle w:val="ARCATSubPara"/>
        <w:rPr>
          <w:lang w:val="fr-CA"/>
        </w:rPr>
      </w:pPr>
      <w:r w:rsidRPr="00C82525">
        <w:rPr>
          <w:lang w:val="fr-CA"/>
        </w:rPr>
        <w:t>Moteur : Sans interrupteur, ½ HP à service continu</w:t>
      </w:r>
    </w:p>
    <w:p w:rsidR="00BB1820" w:rsidRPr="00C82525" w:rsidRDefault="00BB1820" w:rsidP="00BB1820">
      <w:pPr>
        <w:pStyle w:val="ARCATSubSub1"/>
        <w:rPr>
          <w:rFonts w:eastAsia="HelveticaNeueLT-Roman"/>
          <w:lang w:val="fr-CA"/>
        </w:rPr>
      </w:pPr>
      <w:r w:rsidRPr="00C82525">
        <w:rPr>
          <w:rFonts w:eastAsia="HelveticaNeueLT-Roman"/>
          <w:lang w:val="fr-CA"/>
        </w:rPr>
        <w:t>Capacité :</w:t>
      </w:r>
      <w:r w:rsidR="001273A1">
        <w:rPr>
          <w:rFonts w:eastAsia="HelveticaNeueLT-Roman"/>
          <w:lang w:val="fr-CA"/>
        </w:rPr>
        <w:t xml:space="preserve"> </w:t>
      </w:r>
      <w:r w:rsidRPr="00C82525">
        <w:rPr>
          <w:rFonts w:eastAsia="HelveticaNeueLT-Roman"/>
          <w:lang w:val="fr-CA"/>
        </w:rPr>
        <w:t xml:space="preserve">Prend en charge des longueurs de barrière allant jusqu’à 13 m </w:t>
      </w:r>
      <w:r w:rsidRPr="00C82525">
        <w:rPr>
          <w:lang w:val="fr-CA"/>
        </w:rPr>
        <w:t xml:space="preserve">(45 pi) </w:t>
      </w:r>
      <w:r w:rsidRPr="00C82525">
        <w:rPr>
          <w:rFonts w:eastAsia="HelveticaNeueLT-Roman"/>
          <w:lang w:val="fr-CA"/>
        </w:rPr>
        <w:t>et des poids de barrière allant jusqu’à 454 kg</w:t>
      </w:r>
      <w:r w:rsidRPr="00C82525">
        <w:rPr>
          <w:lang w:val="fr-CA"/>
        </w:rPr>
        <w:t>(1 000 lb)</w:t>
      </w:r>
      <w:r w:rsidRPr="00C82525">
        <w:rPr>
          <w:rFonts w:eastAsia="HelveticaNeueLT-Roman"/>
          <w:lang w:val="fr-CA"/>
        </w:rPr>
        <w:t>.</w:t>
      </w:r>
    </w:p>
    <w:p w:rsidR="00BB1820" w:rsidRPr="00C82525" w:rsidRDefault="00BB1820" w:rsidP="00BB1820">
      <w:pPr>
        <w:pStyle w:val="ARCATSubSub1"/>
        <w:rPr>
          <w:rFonts w:eastAsia="HelveticaNeueLT-Roman"/>
          <w:lang w:val="fr-CA"/>
        </w:rPr>
      </w:pPr>
      <w:r w:rsidRPr="00C82525">
        <w:rPr>
          <w:rFonts w:eastAsia="HelveticaNeueLT-Roman"/>
          <w:lang w:val="fr-CA"/>
        </w:rPr>
        <w:t>Cycles recommandés par heure :</w:t>
      </w:r>
      <w:r w:rsidR="001273A1">
        <w:rPr>
          <w:rFonts w:eastAsia="HelveticaNeueLT-Roman"/>
          <w:lang w:val="fr-CA"/>
        </w:rPr>
        <w:t xml:space="preserve"> </w:t>
      </w:r>
      <w:r w:rsidRPr="00C82525">
        <w:rPr>
          <w:rFonts w:eastAsia="HelveticaNeueLT-Roman"/>
          <w:lang w:val="fr-CA"/>
        </w:rPr>
        <w:t>20.</w:t>
      </w:r>
    </w:p>
    <w:p w:rsidR="00BB1820" w:rsidRPr="00C82525" w:rsidRDefault="00BB1820" w:rsidP="00BB1820">
      <w:pPr>
        <w:pStyle w:val="ARCATSubPara"/>
        <w:rPr>
          <w:lang w:val="fr-CA"/>
        </w:rPr>
      </w:pPr>
      <w:r w:rsidRPr="00C82525">
        <w:rPr>
          <w:lang w:val="fr-CA"/>
        </w:rPr>
        <w:t>Moteur :</w:t>
      </w:r>
      <w:r w:rsidR="001273A1">
        <w:rPr>
          <w:lang w:val="fr-CA"/>
        </w:rPr>
        <w:t xml:space="preserve"> </w:t>
      </w:r>
      <w:r w:rsidRPr="00C82525">
        <w:rPr>
          <w:lang w:val="fr-CA"/>
        </w:rPr>
        <w:t>Sans interrupteur, 1 HP à service continu.</w:t>
      </w:r>
    </w:p>
    <w:p w:rsidR="00BB1820" w:rsidRPr="00C82525" w:rsidRDefault="00BB1820" w:rsidP="00BB1820">
      <w:pPr>
        <w:pStyle w:val="ARCATSubSub1"/>
        <w:rPr>
          <w:rFonts w:eastAsia="HelveticaNeueLT-Roman"/>
          <w:lang w:val="fr-CA"/>
        </w:rPr>
      </w:pPr>
      <w:r w:rsidRPr="00C82525">
        <w:rPr>
          <w:rFonts w:eastAsia="HelveticaNeueLT-Roman"/>
          <w:lang w:val="fr-CA"/>
        </w:rPr>
        <w:t>Capacité :</w:t>
      </w:r>
      <w:r w:rsidR="001273A1">
        <w:rPr>
          <w:rFonts w:eastAsia="HelveticaNeueLT-Roman"/>
          <w:lang w:val="fr-CA"/>
        </w:rPr>
        <w:t xml:space="preserve"> </w:t>
      </w:r>
      <w:r w:rsidRPr="00C82525">
        <w:rPr>
          <w:rFonts w:eastAsia="HelveticaNeueLT-Roman"/>
          <w:lang w:val="fr-CA"/>
        </w:rPr>
        <w:t xml:space="preserve">Prend en charge des longueurs de barrière allant jusqu’à 21 m </w:t>
      </w:r>
      <w:r w:rsidRPr="00C82525">
        <w:rPr>
          <w:lang w:val="fr-CA"/>
        </w:rPr>
        <w:t xml:space="preserve">(70 pi) </w:t>
      </w:r>
      <w:r w:rsidRPr="00C82525">
        <w:rPr>
          <w:rFonts w:eastAsia="HelveticaNeueLT-Roman"/>
          <w:lang w:val="fr-CA"/>
        </w:rPr>
        <w:t>et des poids de barrière allant jusqu’à 725 kg</w:t>
      </w:r>
      <w:r w:rsidRPr="00C82525">
        <w:rPr>
          <w:lang w:val="fr-CA"/>
        </w:rPr>
        <w:t>(1 600 lb)</w:t>
      </w:r>
      <w:r w:rsidRPr="00C82525">
        <w:rPr>
          <w:rFonts w:eastAsia="HelveticaNeueLT-Roman"/>
          <w:lang w:val="fr-CA"/>
        </w:rPr>
        <w:t>.</w:t>
      </w:r>
    </w:p>
    <w:p w:rsidR="00BB1820" w:rsidRPr="00C82525" w:rsidRDefault="00BB1820" w:rsidP="00BB1820">
      <w:pPr>
        <w:pStyle w:val="ARCATSubSub1"/>
        <w:rPr>
          <w:rFonts w:eastAsia="HelveticaNeueLT-Roman"/>
          <w:lang w:val="fr-CA"/>
        </w:rPr>
      </w:pPr>
      <w:r w:rsidRPr="00C82525">
        <w:rPr>
          <w:rFonts w:eastAsia="HelveticaNeueLT-Roman"/>
          <w:lang w:val="fr-CA"/>
        </w:rPr>
        <w:t>Cycles recommandés par heure :</w:t>
      </w:r>
      <w:r w:rsidR="001273A1">
        <w:rPr>
          <w:rFonts w:eastAsia="HelveticaNeueLT-Roman"/>
          <w:lang w:val="fr-CA"/>
        </w:rPr>
        <w:t xml:space="preserve"> </w:t>
      </w:r>
      <w:r w:rsidRPr="00C82525">
        <w:rPr>
          <w:rFonts w:eastAsia="HelveticaNeueLT-Roman"/>
          <w:lang w:val="fr-CA"/>
        </w:rPr>
        <w:t>20.</w:t>
      </w:r>
    </w:p>
    <w:p w:rsidR="00BB1820" w:rsidRPr="00C82525" w:rsidRDefault="00BB1820" w:rsidP="00BB1820">
      <w:pPr>
        <w:pStyle w:val="ARCATSubPara"/>
        <w:rPr>
          <w:lang w:val="fr-CA"/>
        </w:rPr>
      </w:pPr>
      <w:r w:rsidRPr="00C82525">
        <w:rPr>
          <w:lang w:val="fr-CA"/>
        </w:rPr>
        <w:t>Moteur : Sans interrupteur, 1 ½ HP, à service continu (115/230 V, monophasé uniquement).</w:t>
      </w:r>
    </w:p>
    <w:p w:rsidR="00BB1820" w:rsidRPr="00C82525" w:rsidRDefault="00BB1820" w:rsidP="00BB1820">
      <w:pPr>
        <w:pStyle w:val="ARCATSubSub1"/>
        <w:rPr>
          <w:rFonts w:eastAsia="HelveticaNeueLT-Roman"/>
          <w:lang w:val="fr-CA"/>
        </w:rPr>
      </w:pPr>
      <w:r w:rsidRPr="00C82525">
        <w:rPr>
          <w:rFonts w:eastAsia="HelveticaNeueLT-Roman"/>
          <w:lang w:val="fr-CA"/>
        </w:rPr>
        <w:t>Capacité :</w:t>
      </w:r>
      <w:r w:rsidR="001273A1">
        <w:rPr>
          <w:rFonts w:eastAsia="HelveticaNeueLT-Roman"/>
          <w:lang w:val="fr-CA"/>
        </w:rPr>
        <w:t xml:space="preserve"> </w:t>
      </w:r>
      <w:r w:rsidRPr="00C82525">
        <w:rPr>
          <w:rFonts w:eastAsia="HelveticaNeueLT-Roman"/>
          <w:lang w:val="fr-CA"/>
        </w:rPr>
        <w:t xml:space="preserve">Prend en charge des longueurs de barrière allant jusqu’à 23 m </w:t>
      </w:r>
      <w:r w:rsidRPr="00C82525">
        <w:rPr>
          <w:lang w:val="fr-CA"/>
        </w:rPr>
        <w:t xml:space="preserve">(75 pi) </w:t>
      </w:r>
      <w:r w:rsidRPr="00C82525">
        <w:rPr>
          <w:rFonts w:eastAsia="HelveticaNeueLT-Roman"/>
          <w:lang w:val="fr-CA"/>
        </w:rPr>
        <w:t>et des poids de barrière allant jusqu’à 862 kg</w:t>
      </w:r>
      <w:r w:rsidRPr="00C82525">
        <w:rPr>
          <w:lang w:val="fr-CA"/>
        </w:rPr>
        <w:t>(1 900 lb)</w:t>
      </w:r>
      <w:r w:rsidRPr="00C82525">
        <w:rPr>
          <w:rFonts w:eastAsia="HelveticaNeueLT-Roman"/>
          <w:lang w:val="fr-CA"/>
        </w:rPr>
        <w:t>.</w:t>
      </w:r>
    </w:p>
    <w:p w:rsidR="00BB1820" w:rsidRPr="00C82525" w:rsidRDefault="00BB1820" w:rsidP="00BB1820">
      <w:pPr>
        <w:pStyle w:val="ARCATSubSub1"/>
        <w:rPr>
          <w:rFonts w:eastAsia="HelveticaNeueLT-Roman"/>
          <w:lang w:val="fr-CA"/>
        </w:rPr>
      </w:pPr>
      <w:r w:rsidRPr="00C82525">
        <w:rPr>
          <w:rFonts w:eastAsia="HelveticaNeueLT-Roman"/>
          <w:lang w:val="fr-CA"/>
        </w:rPr>
        <w:t>Cycles recommandés par heure :</w:t>
      </w:r>
      <w:r w:rsidR="001273A1">
        <w:rPr>
          <w:rFonts w:eastAsia="HelveticaNeueLT-Roman"/>
          <w:lang w:val="fr-CA"/>
        </w:rPr>
        <w:t xml:space="preserve"> </w:t>
      </w:r>
      <w:r w:rsidRPr="00C82525">
        <w:rPr>
          <w:rFonts w:eastAsia="HelveticaNeueLT-Roman"/>
          <w:lang w:val="fr-CA"/>
        </w:rPr>
        <w:t>20.</w:t>
      </w:r>
    </w:p>
    <w:p w:rsidR="00BB1820" w:rsidRPr="00C82525" w:rsidRDefault="00BB1820" w:rsidP="00BB1820">
      <w:pPr>
        <w:pStyle w:val="ARCATSubPara"/>
        <w:rPr>
          <w:lang w:val="fr-CA"/>
        </w:rPr>
      </w:pPr>
      <w:r w:rsidRPr="00C82525">
        <w:rPr>
          <w:lang w:val="fr-CA"/>
        </w:rPr>
        <w:t>Cadre en métal :</w:t>
      </w:r>
      <w:r w:rsidR="001273A1">
        <w:rPr>
          <w:lang w:val="fr-CA"/>
        </w:rPr>
        <w:t xml:space="preserve"> </w:t>
      </w:r>
      <w:r w:rsidRPr="00C82525">
        <w:rPr>
          <w:lang w:val="fr-CA"/>
        </w:rPr>
        <w:t>Acier prégalvanisé de calibre 7.</w:t>
      </w:r>
    </w:p>
    <w:p w:rsidR="00BB1820" w:rsidRPr="00C82525" w:rsidRDefault="00BB1820" w:rsidP="00BB1820">
      <w:pPr>
        <w:pStyle w:val="ARCATSubPara"/>
        <w:rPr>
          <w:lang w:val="fr-CA"/>
        </w:rPr>
      </w:pPr>
      <w:r w:rsidRPr="00C82525">
        <w:rPr>
          <w:lang w:val="fr-CA"/>
        </w:rPr>
        <w:t>Châssis :</w:t>
      </w:r>
      <w:r w:rsidR="001273A1">
        <w:rPr>
          <w:lang w:val="fr-CA"/>
        </w:rPr>
        <w:t xml:space="preserve"> </w:t>
      </w:r>
      <w:r w:rsidRPr="00C82525">
        <w:rPr>
          <w:lang w:val="fr-CA"/>
        </w:rPr>
        <w:t>Acier galvanisé à recouvrement poudre.</w:t>
      </w:r>
    </w:p>
    <w:p w:rsidR="00BB1820" w:rsidRPr="00C82525" w:rsidRDefault="00BB1820" w:rsidP="00BB1820">
      <w:pPr>
        <w:pStyle w:val="ARCATSubPara"/>
        <w:rPr>
          <w:lang w:val="fr-CA"/>
        </w:rPr>
      </w:pPr>
      <w:r w:rsidRPr="00C82525">
        <w:rPr>
          <w:lang w:val="fr-CA"/>
        </w:rPr>
        <w:t>Enceinte :</w:t>
      </w:r>
      <w:r w:rsidR="001273A1">
        <w:rPr>
          <w:lang w:val="fr-CA"/>
        </w:rPr>
        <w:t xml:space="preserve"> </w:t>
      </w:r>
      <w:r w:rsidRPr="00C82525">
        <w:rPr>
          <w:lang w:val="fr-CA"/>
        </w:rPr>
        <w:t>Couvercle en acier de calibre 16, résistant aux intempéries, verrouillable.</w:t>
      </w:r>
    </w:p>
    <w:p w:rsidR="00BB1820" w:rsidRPr="00C82525" w:rsidRDefault="00BB1820" w:rsidP="00BB1820">
      <w:pPr>
        <w:pStyle w:val="ARCATSubPara"/>
        <w:rPr>
          <w:lang w:val="fr-CA"/>
        </w:rPr>
      </w:pPr>
      <w:r w:rsidRPr="00C82525">
        <w:rPr>
          <w:lang w:val="fr-CA"/>
        </w:rPr>
        <w:t>Chaîne :</w:t>
      </w:r>
      <w:r w:rsidR="001273A1">
        <w:rPr>
          <w:lang w:val="fr-CA"/>
        </w:rPr>
        <w:t xml:space="preserve"> </w:t>
      </w:r>
      <w:r w:rsidRPr="00C82525">
        <w:rPr>
          <w:lang w:val="fr-CA"/>
        </w:rPr>
        <w:t>no 50 plaquée nickel, de 7 620 mm (25 pi) fournie avec chaque unité.</w:t>
      </w:r>
    </w:p>
    <w:p w:rsidR="00BB1820" w:rsidRPr="00C82525" w:rsidRDefault="00BB1820" w:rsidP="00BB1820">
      <w:pPr>
        <w:pStyle w:val="ARCATSubPara"/>
        <w:rPr>
          <w:lang w:val="fr-CA"/>
        </w:rPr>
      </w:pPr>
      <w:r w:rsidRPr="00C82525">
        <w:rPr>
          <w:lang w:val="fr-CA"/>
        </w:rPr>
        <w:t>Boîtier d’engrenages :</w:t>
      </w:r>
      <w:r w:rsidR="001273A1">
        <w:rPr>
          <w:lang w:val="fr-CA"/>
        </w:rPr>
        <w:t xml:space="preserve"> </w:t>
      </w:r>
      <w:r w:rsidRPr="00C82525">
        <w:rPr>
          <w:lang w:val="fr-CA"/>
        </w:rPr>
        <w:t>Tout-temps.</w:t>
      </w:r>
    </w:p>
    <w:p w:rsidR="00BB1820" w:rsidRPr="00C82525" w:rsidRDefault="00BB1820" w:rsidP="00BB1820">
      <w:pPr>
        <w:pStyle w:val="ARCATSubPara"/>
        <w:rPr>
          <w:lang w:val="fr-CA"/>
        </w:rPr>
      </w:pPr>
      <w:r w:rsidRPr="00C82525">
        <w:rPr>
          <w:lang w:val="fr-CA"/>
        </w:rPr>
        <w:t>Connectivité Internet :</w:t>
      </w:r>
      <w:r w:rsidR="001273A1">
        <w:rPr>
          <w:lang w:val="fr-CA"/>
        </w:rPr>
        <w:t xml:space="preserve"> </w:t>
      </w:r>
      <w:r w:rsidRPr="00C82525">
        <w:rPr>
          <w:lang w:val="fr-CA"/>
        </w:rPr>
        <w:t>Technologie MyQ.</w:t>
      </w:r>
    </w:p>
    <w:p w:rsidR="00BB1820" w:rsidRPr="00C82525" w:rsidRDefault="00BB1820" w:rsidP="00BB1820">
      <w:pPr>
        <w:pStyle w:val="ARCATSubSub1"/>
        <w:rPr>
          <w:lang w:val="fr-CA"/>
        </w:rPr>
      </w:pPr>
      <w:r w:rsidRPr="00C82525">
        <w:rPr>
          <w:lang w:val="fr-CA"/>
        </w:rPr>
        <w:t>902 à 928 MHz.</w:t>
      </w:r>
    </w:p>
    <w:p w:rsidR="00BB1820" w:rsidRPr="00C82525" w:rsidRDefault="00BB1820" w:rsidP="00BB1820">
      <w:pPr>
        <w:pStyle w:val="ARCATSubSub1"/>
        <w:rPr>
          <w:lang w:val="fr-CA"/>
        </w:rPr>
      </w:pPr>
      <w:r w:rsidRPr="00C82525">
        <w:rPr>
          <w:lang w:val="fr-CA"/>
        </w:rPr>
        <w:t>50 canaux FHSS (étalement de spectre avec sauts de fréquence).</w:t>
      </w:r>
    </w:p>
    <w:p w:rsidR="00BB1820" w:rsidRPr="00C82525" w:rsidRDefault="00BB1820" w:rsidP="00BB1820">
      <w:pPr>
        <w:pStyle w:val="ARCATSubSub1"/>
        <w:rPr>
          <w:lang w:val="fr-CA"/>
        </w:rPr>
      </w:pPr>
      <w:r w:rsidRPr="00C82525">
        <w:rPr>
          <w:lang w:val="fr-CA"/>
        </w:rPr>
        <w:t>La passerelle Internet LiftMaster 828LM permet de surveiller et de commander des actionneurs de barrière par un téléphone intelligent, une tablette ou un ordinateur connectés à Internet</w:t>
      </w:r>
    </w:p>
    <w:p w:rsidR="00BB1820" w:rsidRPr="00C82525" w:rsidRDefault="00BB1820" w:rsidP="00BB1820">
      <w:pPr>
        <w:pStyle w:val="ARCATSubSub1"/>
        <w:rPr>
          <w:lang w:val="fr-CA"/>
        </w:rPr>
      </w:pPr>
      <w:r w:rsidRPr="00C82525">
        <w:rPr>
          <w:lang w:val="fr-CA"/>
        </w:rPr>
        <w:t>Fournit une communication bidirectionnelle entre l’actionneur de barrière et les accessoires MyQ pour permettre l’ouverture, la fermeture et la surveillance à distance de la barrière.</w:t>
      </w:r>
    </w:p>
    <w:p w:rsidR="00BB1820" w:rsidRPr="00C82525" w:rsidRDefault="00BB1820" w:rsidP="00BB1820">
      <w:pPr>
        <w:pStyle w:val="ARCATSubPara"/>
        <w:rPr>
          <w:lang w:val="fr-CA"/>
        </w:rPr>
      </w:pPr>
      <w:r w:rsidRPr="00C82525">
        <w:rPr>
          <w:lang w:val="fr-CA"/>
        </w:rPr>
        <w:lastRenderedPageBreak/>
        <w:t>Récepteur :</w:t>
      </w:r>
    </w:p>
    <w:p w:rsidR="00BB1820" w:rsidRPr="00C82525" w:rsidRDefault="00BB1820" w:rsidP="00BB1820">
      <w:pPr>
        <w:pStyle w:val="ARCATSubSub1"/>
        <w:rPr>
          <w:lang w:val="fr-CA"/>
        </w:rPr>
      </w:pPr>
      <w:r w:rsidRPr="00C82525">
        <w:rPr>
          <w:lang w:val="fr-CA"/>
        </w:rPr>
        <w:t>Récepteur embarqué à 3 canaux Security+ 2.0, prend en charge jusqu’à 50 télécommandes (illimité avec l’utilisation des modèles 811LM/813LM), compatible avec HomeLink</w:t>
      </w:r>
    </w:p>
    <w:p w:rsidR="00BB1820" w:rsidRPr="00C82525" w:rsidRDefault="00BB1820" w:rsidP="00BB1820">
      <w:pPr>
        <w:pStyle w:val="ARCATSubSub1"/>
        <w:rPr>
          <w:lang w:val="fr-CA"/>
        </w:rPr>
      </w:pPr>
      <w:r w:rsidRPr="00C82525">
        <w:rPr>
          <w:lang w:val="fr-CA"/>
        </w:rPr>
        <w:t>Transmet 310 MHz, 315 MHz et 390 MHz.</w:t>
      </w:r>
    </w:p>
    <w:p w:rsidR="00BB1820" w:rsidRPr="00C82525" w:rsidRDefault="00BB1820" w:rsidP="00BB1820">
      <w:pPr>
        <w:pStyle w:val="ARCATSubPara"/>
        <w:rPr>
          <w:lang w:val="fr-CA"/>
        </w:rPr>
      </w:pPr>
      <w:r w:rsidRPr="00C82525">
        <w:rPr>
          <w:lang w:val="fr-CA"/>
        </w:rPr>
        <w:t>Capteur d’inversion de sécurité inhérent :</w:t>
      </w:r>
      <w:r w:rsidR="001273A1">
        <w:rPr>
          <w:lang w:val="fr-CA"/>
        </w:rPr>
        <w:t xml:space="preserve"> </w:t>
      </w:r>
      <w:r w:rsidRPr="00C82525">
        <w:rPr>
          <w:lang w:val="fr-CA"/>
        </w:rPr>
        <w:t>Utilise une détection de courant et un capteur de régime pour détecter les obstacles ou les charges accrues. Inverse la course de la barrière lors de la fermeture ou interrompt/inverse la course de la barrière lors de son ouverture.</w:t>
      </w:r>
    </w:p>
    <w:p w:rsidR="00BB1820" w:rsidRPr="00C82525" w:rsidRDefault="00BB1820" w:rsidP="00BB1820">
      <w:pPr>
        <w:pStyle w:val="ARCATSubPara"/>
        <w:rPr>
          <w:lang w:val="fr-CA"/>
        </w:rPr>
      </w:pPr>
      <w:r w:rsidRPr="00C82525">
        <w:rPr>
          <w:lang w:val="fr-CA"/>
        </w:rPr>
        <w:t>Verrouillage/étiquetage :</w:t>
      </w:r>
      <w:r w:rsidR="001273A1">
        <w:rPr>
          <w:lang w:val="fr-CA"/>
        </w:rPr>
        <w:t xml:space="preserve"> </w:t>
      </w:r>
      <w:r w:rsidRPr="00C82525">
        <w:rPr>
          <w:lang w:val="fr-CA"/>
        </w:rPr>
        <w:t>Empêche de remettre l’alimentation accidentellement lors d’une intervention d’entretien sur l’actionneur. Protège les travailleurs contre une alimentation à haute tension.</w:t>
      </w:r>
    </w:p>
    <w:p w:rsidR="00BB1820" w:rsidRPr="00C82525" w:rsidRDefault="00BB1820" w:rsidP="00BB1820">
      <w:pPr>
        <w:pStyle w:val="ARCATSubPara"/>
        <w:rPr>
          <w:lang w:val="fr-CA"/>
        </w:rPr>
      </w:pPr>
      <w:r w:rsidRPr="00C82525">
        <w:rPr>
          <w:lang w:val="fr-CA"/>
        </w:rPr>
        <w:t>Fonctionnement sans fil de la barrière à deux vantaux :</w:t>
      </w:r>
    </w:p>
    <w:p w:rsidR="00BB1820" w:rsidRPr="00C82525" w:rsidRDefault="00BB1820" w:rsidP="00BB1820">
      <w:pPr>
        <w:pStyle w:val="ARCATSubSub1"/>
        <w:rPr>
          <w:lang w:val="fr-CA"/>
        </w:rPr>
      </w:pPr>
      <w:r w:rsidRPr="00C82525">
        <w:rPr>
          <w:lang w:val="fr-CA"/>
        </w:rPr>
        <w:t>Communication sans fil intégrée qui assurera le fonctionnement de l’actionneur primaire et secondaire sans avoir à acheminer un fil de communication.</w:t>
      </w:r>
    </w:p>
    <w:p w:rsidR="00BB1820" w:rsidRPr="00C82525" w:rsidRDefault="00BB1820" w:rsidP="00BB1820">
      <w:pPr>
        <w:pStyle w:val="ARCATSubSub1"/>
        <w:rPr>
          <w:lang w:val="fr-CA"/>
        </w:rPr>
      </w:pPr>
      <w:r w:rsidRPr="00C82525">
        <w:rPr>
          <w:lang w:val="fr-CA"/>
        </w:rPr>
        <w:t xml:space="preserve">Prise en charge de la cellule photoélectrique de type barrage dans la configuration sans fil de barrière à deux vantaux. Peut fixer un émetteur et récepteur à chaque actionneur, éliminant tout câblage de communication entre eux. </w:t>
      </w:r>
    </w:p>
    <w:p w:rsidR="00BB1820" w:rsidRPr="00C82525" w:rsidRDefault="00BB1820" w:rsidP="00BB1820">
      <w:pPr>
        <w:pStyle w:val="ARCATSubPara"/>
        <w:rPr>
          <w:lang w:val="fr-CA"/>
        </w:rPr>
      </w:pPr>
      <w:r w:rsidRPr="00C82525">
        <w:rPr>
          <w:lang w:val="fr-CA"/>
        </w:rPr>
        <w:t>Affichage de diagnostic à DEL :</w:t>
      </w:r>
      <w:r w:rsidR="001273A1">
        <w:rPr>
          <w:lang w:val="fr-CA"/>
        </w:rPr>
        <w:t xml:space="preserve"> </w:t>
      </w:r>
      <w:r w:rsidRPr="00C82525">
        <w:rPr>
          <w:lang w:val="fr-CA"/>
        </w:rPr>
        <w:t>Simplifie l’installation et le dépannage.</w:t>
      </w:r>
    </w:p>
    <w:p w:rsidR="00BB1820" w:rsidRPr="00C82525" w:rsidRDefault="00BB1820" w:rsidP="00BB1820">
      <w:pPr>
        <w:pStyle w:val="ARCATSubPara"/>
        <w:rPr>
          <w:lang w:val="fr-CA"/>
        </w:rPr>
      </w:pPr>
      <w:r w:rsidRPr="00C82525">
        <w:rPr>
          <w:lang w:val="fr-CA"/>
        </w:rPr>
        <w:t xml:space="preserve">Borniers colorés : Fournit une identification facile des entrées de sécurité et du service des incendies. </w:t>
      </w:r>
    </w:p>
    <w:p w:rsidR="00BB1820" w:rsidRPr="00C82525" w:rsidRDefault="00BB1820" w:rsidP="00BB1820">
      <w:pPr>
        <w:pStyle w:val="ARCATSubPara"/>
        <w:rPr>
          <w:lang w:val="fr-CA"/>
        </w:rPr>
      </w:pPr>
      <w:r w:rsidRPr="00C82525">
        <w:rPr>
          <w:lang w:val="fr-CA"/>
        </w:rPr>
        <w:t>Relais auxiliaires programmables :</w:t>
      </w:r>
      <w:r w:rsidR="001273A1">
        <w:rPr>
          <w:lang w:val="fr-CA"/>
        </w:rPr>
        <w:t xml:space="preserve"> </w:t>
      </w:r>
      <w:r w:rsidRPr="00C82525">
        <w:rPr>
          <w:lang w:val="fr-CA"/>
        </w:rPr>
        <w:t>2 relais programmables avec 6 réglages chacun.</w:t>
      </w:r>
    </w:p>
    <w:p w:rsidR="00BB1820" w:rsidRPr="00C82525" w:rsidRDefault="00BB1820" w:rsidP="00BB1820">
      <w:pPr>
        <w:pStyle w:val="ARCATSubSub1"/>
        <w:rPr>
          <w:lang w:val="fr-CA"/>
        </w:rPr>
      </w:pPr>
      <w:r w:rsidRPr="00C82525">
        <w:rPr>
          <w:lang w:val="fr-CA"/>
        </w:rPr>
        <w:t>Alarme sonore de préavertissement ou de barrière en mouvement</w:t>
      </w:r>
    </w:p>
    <w:p w:rsidR="00BB1820" w:rsidRPr="00C82525" w:rsidRDefault="00BB1820" w:rsidP="00BB1820">
      <w:pPr>
        <w:pStyle w:val="ARCATSubSub1"/>
        <w:rPr>
          <w:lang w:val="fr-CA"/>
        </w:rPr>
      </w:pPr>
      <w:r w:rsidRPr="00C82525">
        <w:rPr>
          <w:lang w:val="fr-CA"/>
        </w:rPr>
        <w:t xml:space="preserve">Dispositifs de mise en marche/arrêt aux limites de course d’ouverture ou de fermeture, ou lorsque la barrière est en mouvement. </w:t>
      </w:r>
    </w:p>
    <w:p w:rsidR="00BB1820" w:rsidRPr="00C82525" w:rsidRDefault="00BB1820" w:rsidP="00BB1820">
      <w:pPr>
        <w:pStyle w:val="ARCATSubSub1"/>
        <w:rPr>
          <w:lang w:val="fr-CA"/>
        </w:rPr>
      </w:pPr>
      <w:r w:rsidRPr="00C82525">
        <w:rPr>
          <w:lang w:val="fr-CA"/>
        </w:rPr>
        <w:t>Détection de sabotage si la barrière est poussée au-delà de sa limite de course de fermeture</w:t>
      </w:r>
    </w:p>
    <w:p w:rsidR="00BB1820" w:rsidRPr="00C82525" w:rsidRDefault="00BB1820" w:rsidP="00BB1820">
      <w:pPr>
        <w:pStyle w:val="ARCATSubSub1"/>
        <w:rPr>
          <w:lang w:val="fr-CA"/>
        </w:rPr>
      </w:pPr>
      <w:r w:rsidRPr="00C82525">
        <w:rPr>
          <w:lang w:val="fr-CA"/>
        </w:rPr>
        <w:t>Rétroaction de quantité de cycles.</w:t>
      </w:r>
    </w:p>
    <w:p w:rsidR="00BB1820" w:rsidRPr="00C82525" w:rsidRDefault="00BB1820" w:rsidP="00BB1820">
      <w:pPr>
        <w:pStyle w:val="ARCATSubSub1"/>
        <w:rPr>
          <w:lang w:val="fr-CA"/>
        </w:rPr>
      </w:pPr>
      <w:r w:rsidRPr="00C82525">
        <w:rPr>
          <w:lang w:val="fr-CA"/>
        </w:rPr>
        <w:t>Feu rouge/vert pour contrôler le trafic à la barrière.</w:t>
      </w:r>
    </w:p>
    <w:p w:rsidR="00BB1820" w:rsidRPr="00C82525" w:rsidRDefault="00BB1820" w:rsidP="00BB1820">
      <w:pPr>
        <w:pStyle w:val="ARCATSubPara"/>
        <w:rPr>
          <w:lang w:val="fr-CA"/>
        </w:rPr>
      </w:pPr>
      <w:r w:rsidRPr="00C82525">
        <w:rPr>
          <w:lang w:val="fr-CA"/>
        </w:rPr>
        <w:t>Fermeture rapide, anti-talonnage :</w:t>
      </w:r>
      <w:r w:rsidR="001273A1">
        <w:rPr>
          <w:lang w:val="fr-CA"/>
        </w:rPr>
        <w:t xml:space="preserve"> </w:t>
      </w:r>
      <w:r w:rsidRPr="00C82525">
        <w:rPr>
          <w:lang w:val="fr-CA"/>
        </w:rPr>
        <w:t>Sécurise rapidement la propriété pour prévenir l’accès non autorisé.</w:t>
      </w:r>
    </w:p>
    <w:p w:rsidR="00BB1820" w:rsidRPr="00C82525" w:rsidRDefault="00BB1820" w:rsidP="00BB1820">
      <w:pPr>
        <w:pStyle w:val="ARCATSubPara"/>
        <w:rPr>
          <w:lang w:val="fr-CA"/>
        </w:rPr>
      </w:pPr>
      <w:r w:rsidRPr="00C82525">
        <w:rPr>
          <w:lang w:val="fr-CA"/>
        </w:rPr>
        <w:t>Gestion d’accès à séquence :</w:t>
      </w:r>
      <w:r w:rsidR="001273A1">
        <w:rPr>
          <w:lang w:val="fr-CA"/>
        </w:rPr>
        <w:t xml:space="preserve"> </w:t>
      </w:r>
      <w:r w:rsidRPr="00C82525">
        <w:rPr>
          <w:lang w:val="fr-CA"/>
        </w:rPr>
        <w:t>Capacité de commande à séquence de l’actionneur en tandem avec une barrière.</w:t>
      </w:r>
    </w:p>
    <w:p w:rsidR="00BB1820" w:rsidRPr="00C82525" w:rsidRDefault="00BB1820" w:rsidP="00BB1820">
      <w:pPr>
        <w:pStyle w:val="ARCATSubPara"/>
        <w:rPr>
          <w:lang w:val="fr-CA"/>
        </w:rPr>
      </w:pPr>
      <w:r w:rsidRPr="00C82525">
        <w:rPr>
          <w:lang w:val="fr-CA"/>
        </w:rPr>
        <w:t>Protection contre les surtensions/la foudre :</w:t>
      </w:r>
      <w:r w:rsidR="001273A1">
        <w:rPr>
          <w:lang w:val="fr-CA"/>
        </w:rPr>
        <w:t xml:space="preserve"> </w:t>
      </w:r>
      <w:r w:rsidRPr="00C82525">
        <w:rPr>
          <w:lang w:val="fr-CA"/>
        </w:rPr>
        <w:t>Protection industrielle contre les surtensions sur les entrées de faible et haute tension. Protège contre la foudre dans un rayon de 15,2m (50 pi).</w:t>
      </w:r>
    </w:p>
    <w:p w:rsidR="00BB1820" w:rsidRPr="00C82525" w:rsidRDefault="00BB1820" w:rsidP="00BB1820">
      <w:pPr>
        <w:pStyle w:val="ARCATSubPara"/>
        <w:rPr>
          <w:lang w:val="fr-CA"/>
        </w:rPr>
      </w:pPr>
      <w:r w:rsidRPr="00C82525">
        <w:rPr>
          <w:lang w:val="fr-CA"/>
        </w:rPr>
        <w:t>Entrées de détecteur à boucle enfichable :</w:t>
      </w:r>
      <w:r w:rsidR="001273A1">
        <w:rPr>
          <w:lang w:val="fr-CA"/>
        </w:rPr>
        <w:t xml:space="preserve"> </w:t>
      </w:r>
      <w:r w:rsidRPr="00C82525">
        <w:rPr>
          <w:lang w:val="fr-CA"/>
        </w:rPr>
        <w:t xml:space="preserve">Entrées programmées pour boucles d’ombre, d’interruption et de sortie. </w:t>
      </w:r>
    </w:p>
    <w:p w:rsidR="00BB1820" w:rsidRPr="00C82525" w:rsidRDefault="00BB1820" w:rsidP="00BB1820">
      <w:pPr>
        <w:pStyle w:val="ARCATSubPara"/>
        <w:rPr>
          <w:lang w:val="fr-CA"/>
        </w:rPr>
      </w:pPr>
      <w:r w:rsidRPr="00C82525">
        <w:rPr>
          <w:lang w:val="fr-CA"/>
        </w:rPr>
        <w:t>Bouton de réinitialisation de l’alarme externe :</w:t>
      </w:r>
      <w:r w:rsidR="001273A1">
        <w:rPr>
          <w:lang w:val="fr-CA"/>
        </w:rPr>
        <w:t xml:space="preserve"> </w:t>
      </w:r>
      <w:r w:rsidRPr="00C82525">
        <w:rPr>
          <w:lang w:val="fr-CA"/>
        </w:rPr>
        <w:t xml:space="preserve">Permet de réinitialiser rapidement l’actionneur de barrière lorsque l’alarme a été activée. </w:t>
      </w:r>
    </w:p>
    <w:p w:rsidR="00BB1820" w:rsidRPr="00C82525" w:rsidRDefault="00BB1820" w:rsidP="00BB1820">
      <w:pPr>
        <w:pStyle w:val="ARCATSubPara"/>
        <w:rPr>
          <w:lang w:val="fr-CA"/>
        </w:rPr>
      </w:pPr>
      <w:r w:rsidRPr="00C82525">
        <w:rPr>
          <w:lang w:val="fr-CA"/>
        </w:rPr>
        <w:t>Dispositif d’avertissement :</w:t>
      </w:r>
      <w:r w:rsidR="001273A1">
        <w:rPr>
          <w:lang w:val="fr-CA"/>
        </w:rPr>
        <w:t xml:space="preserve"> </w:t>
      </w:r>
      <w:r w:rsidRPr="00C82525">
        <w:rPr>
          <w:lang w:val="fr-CA"/>
        </w:rPr>
        <w:t>Alarme de piégeage conforme à la norme UL 325 qui peut être réglée pour un avertissement de pré-fonctionnement; procure un avertissement de 3 secondes avant et pendant le mouvement de la barrière.</w:t>
      </w:r>
    </w:p>
    <w:p w:rsidR="00BB1820" w:rsidRPr="00C82525" w:rsidRDefault="00BB1820" w:rsidP="00BB1820">
      <w:pPr>
        <w:pStyle w:val="ARCATSubPara"/>
        <w:rPr>
          <w:lang w:val="fr-CA"/>
        </w:rPr>
      </w:pPr>
      <w:r w:rsidRPr="00C82525">
        <w:rPr>
          <w:lang w:val="fr-CA"/>
        </w:rPr>
        <w:t>Temporisation maximale de course :</w:t>
      </w:r>
      <w:r w:rsidR="001273A1">
        <w:rPr>
          <w:lang w:val="fr-CA"/>
        </w:rPr>
        <w:t xml:space="preserve"> </w:t>
      </w:r>
      <w:r w:rsidRPr="00C82525">
        <w:rPr>
          <w:lang w:val="fr-CA"/>
        </w:rPr>
        <w:t xml:space="preserve">Protège contre les dommages à la barrière et à l’actionneur en limitant la durée de fonctionnement de l’unité à 120 secondes. </w:t>
      </w:r>
    </w:p>
    <w:p w:rsidR="00BB1820" w:rsidRPr="00C82525" w:rsidRDefault="00BB1820" w:rsidP="00BB1820">
      <w:pPr>
        <w:pStyle w:val="ARCATSubPara"/>
        <w:rPr>
          <w:lang w:val="fr-CA"/>
        </w:rPr>
      </w:pPr>
      <w:r w:rsidRPr="00C82525">
        <w:rPr>
          <w:lang w:val="fr-CA"/>
        </w:rPr>
        <w:t>Dispositif de désaccouplement manuel externe verrouillable :</w:t>
      </w:r>
      <w:r w:rsidR="001273A1">
        <w:rPr>
          <w:lang w:val="fr-CA"/>
        </w:rPr>
        <w:t xml:space="preserve"> </w:t>
      </w:r>
      <w:r w:rsidRPr="00C82525">
        <w:rPr>
          <w:lang w:val="fr-CA"/>
        </w:rPr>
        <w:t xml:space="preserve">Permet à la barrière d’être ouverte dans le cas d’une perte de courant sans avoir besoin d’enlever le couvercle de l’actionneur. </w:t>
      </w:r>
    </w:p>
    <w:p w:rsidR="00BB1820" w:rsidRPr="00C82525" w:rsidRDefault="00BB1820" w:rsidP="00BB1820">
      <w:pPr>
        <w:pStyle w:val="ARCATSubPara"/>
        <w:rPr>
          <w:lang w:val="fr-CA"/>
        </w:rPr>
      </w:pPr>
      <w:r w:rsidRPr="00C82525">
        <w:rPr>
          <w:lang w:val="fr-CA"/>
        </w:rPr>
        <w:t>Frein mécanique :</w:t>
      </w:r>
      <w:r w:rsidR="001273A1">
        <w:rPr>
          <w:lang w:val="fr-CA"/>
        </w:rPr>
        <w:t xml:space="preserve"> </w:t>
      </w:r>
      <w:r w:rsidRPr="00C82525">
        <w:rPr>
          <w:lang w:val="fr-CA"/>
        </w:rPr>
        <w:t>le système de frein mécanique ajoute un contrôle important de la position de la barrière à tous les points de sa course. Le système de frein électrique empêche aussi la barrière d’être entraînée en marche arrière.</w:t>
      </w:r>
    </w:p>
    <w:p w:rsidR="00BB1820" w:rsidRPr="00C82525" w:rsidRDefault="00BB1820" w:rsidP="00BB1820">
      <w:pPr>
        <w:pStyle w:val="ARCATSubPara"/>
        <w:rPr>
          <w:lang w:val="fr-CA"/>
        </w:rPr>
      </w:pPr>
      <w:r w:rsidRPr="00C82525">
        <w:rPr>
          <w:lang w:val="fr-CA"/>
        </w:rPr>
        <w:t>Embrayage à friction : L’embrayage à friction réglable aide à protéger la barrière et l’actionneur contre les dommages dans le cas où un obstacle entraverait la course de la barrière.</w:t>
      </w:r>
    </w:p>
    <w:p w:rsidR="00BB1820" w:rsidRPr="00C82525" w:rsidRDefault="00BB1820" w:rsidP="00BB1820">
      <w:pPr>
        <w:pStyle w:val="ARCATSubPara"/>
        <w:rPr>
          <w:lang w:val="fr-CA"/>
        </w:rPr>
      </w:pPr>
      <w:r w:rsidRPr="00C82525">
        <w:rPr>
          <w:lang w:val="fr-CA"/>
        </w:rPr>
        <w:lastRenderedPageBreak/>
        <w:t>Réglages de limite de course : Les contacteurs de fin de course à écrou de limite sont entièrement réglables pour fournir précision, exactitude et fiabilité.</w:t>
      </w:r>
    </w:p>
    <w:p w:rsidR="00BB1820" w:rsidRPr="00C82525" w:rsidRDefault="00BB1820" w:rsidP="00BB1820">
      <w:pPr>
        <w:pStyle w:val="ARCATSubPara"/>
        <w:rPr>
          <w:lang w:val="fr-CA"/>
        </w:rPr>
      </w:pPr>
      <w:r w:rsidRPr="00C82525">
        <w:rPr>
          <w:lang w:val="fr-CA"/>
        </w:rPr>
        <w:t>Encombrement au sol universel :</w:t>
      </w:r>
      <w:r w:rsidR="001273A1">
        <w:rPr>
          <w:lang w:val="fr-CA"/>
        </w:rPr>
        <w:t xml:space="preserve"> </w:t>
      </w:r>
      <w:r w:rsidRPr="00C82525">
        <w:rPr>
          <w:lang w:val="fr-CA"/>
        </w:rPr>
        <w:t xml:space="preserve">Adapte facilement l’actionneur à la plupart des encombrements au sol. Simplifie les applications de mise à niveau en s’adaptant aux dalles existantes pour les actionneurs Link, Stanley ou Liftmaster. </w:t>
      </w:r>
    </w:p>
    <w:p w:rsidR="00BB1820" w:rsidRPr="00C82525" w:rsidRDefault="00BB1820" w:rsidP="00BB1820">
      <w:pPr>
        <w:pStyle w:val="ARCATSubPara"/>
        <w:rPr>
          <w:lang w:val="fr-CA"/>
        </w:rPr>
      </w:pPr>
      <w:r w:rsidRPr="00C82525">
        <w:rPr>
          <w:lang w:val="fr-CA"/>
        </w:rPr>
        <w:t>Plage de températures de fonctionnement :</w:t>
      </w:r>
      <w:r w:rsidR="001273A1">
        <w:rPr>
          <w:lang w:val="fr-CA"/>
        </w:rPr>
        <w:t xml:space="preserve"> </w:t>
      </w:r>
    </w:p>
    <w:p w:rsidR="00BB1820" w:rsidRPr="00C82525" w:rsidRDefault="00BB1820" w:rsidP="00BB1820">
      <w:pPr>
        <w:pStyle w:val="ARCATSubSub1"/>
        <w:rPr>
          <w:lang w:val="fr-CA"/>
        </w:rPr>
      </w:pPr>
      <w:r w:rsidRPr="00C82525">
        <w:rPr>
          <w:lang w:val="fr-CA"/>
        </w:rPr>
        <w:t>Sans appareil de chauffage :</w:t>
      </w:r>
      <w:r w:rsidR="001273A1">
        <w:rPr>
          <w:lang w:val="fr-CA"/>
        </w:rPr>
        <w:t xml:space="preserve"> </w:t>
      </w:r>
      <w:r w:rsidRPr="00C82525">
        <w:rPr>
          <w:lang w:val="fr-CA"/>
        </w:rPr>
        <w:t>-20 °C (-4 °F) à 60 °C (140 °F).</w:t>
      </w:r>
    </w:p>
    <w:p w:rsidR="00BB1820" w:rsidRPr="00C82525" w:rsidRDefault="00BB1820" w:rsidP="00BB1820">
      <w:pPr>
        <w:pStyle w:val="ARCATSubSub1"/>
        <w:rPr>
          <w:lang w:val="fr-CA"/>
        </w:rPr>
      </w:pPr>
      <w:r w:rsidRPr="00C82525">
        <w:rPr>
          <w:lang w:val="fr-CA"/>
        </w:rPr>
        <w:t>Avec appareil de chauffage :</w:t>
      </w:r>
      <w:r w:rsidR="001273A1">
        <w:rPr>
          <w:lang w:val="fr-CA"/>
        </w:rPr>
        <w:t xml:space="preserve"> </w:t>
      </w:r>
      <w:r w:rsidRPr="00C82525">
        <w:rPr>
          <w:lang w:val="fr-CA"/>
        </w:rPr>
        <w:t>-40 °C (-40 °F) à 60 °C (140 °F).</w:t>
      </w:r>
    </w:p>
    <w:p w:rsidR="00BB1820" w:rsidRPr="00C82525" w:rsidRDefault="00BB1820" w:rsidP="00BB1820">
      <w:pPr>
        <w:pStyle w:val="ARCATSubPara"/>
        <w:rPr>
          <w:lang w:val="fr-CA"/>
        </w:rPr>
      </w:pPr>
      <w:r w:rsidRPr="00C82525">
        <w:rPr>
          <w:lang w:val="fr-CA"/>
        </w:rPr>
        <w:t>Accessoires activés par MyQ :</w:t>
      </w:r>
      <w:r w:rsidR="001273A1">
        <w:rPr>
          <w:lang w:val="fr-CA"/>
        </w:rPr>
        <w:t xml:space="preserve"> </w:t>
      </w:r>
    </w:p>
    <w:p w:rsidR="00BB1820" w:rsidRPr="00C82525" w:rsidRDefault="00BB1820" w:rsidP="00BB1820">
      <w:pPr>
        <w:pStyle w:val="ARCATSubSub1"/>
        <w:rPr>
          <w:lang w:val="fr-CA"/>
        </w:rPr>
      </w:pPr>
      <w:r w:rsidRPr="00C82525">
        <w:rPr>
          <w:lang w:val="fr-CA"/>
        </w:rPr>
        <w:t>Passerelle Internet LiftMaster 828LM :</w:t>
      </w:r>
      <w:r w:rsidR="001273A1">
        <w:rPr>
          <w:lang w:val="fr-CA"/>
        </w:rPr>
        <w:t xml:space="preserve"> </w:t>
      </w:r>
      <w:r w:rsidRPr="00C82525">
        <w:rPr>
          <w:lang w:val="fr-CA"/>
        </w:rPr>
        <w:t>Permet la surveillance à distance à partir d’un ordinateur, d’une tablette ou d’un téléphone intelligent connectés à Internet.</w:t>
      </w:r>
    </w:p>
    <w:p w:rsidR="00BB1820" w:rsidRPr="00C82525" w:rsidRDefault="00BB1820" w:rsidP="00BB1820">
      <w:pPr>
        <w:pStyle w:val="ARCATSubSub1"/>
        <w:rPr>
          <w:lang w:val="fr-CA"/>
        </w:rPr>
      </w:pPr>
      <w:r w:rsidRPr="00C82525">
        <w:rPr>
          <w:lang w:val="fr-CA"/>
        </w:rPr>
        <w:t>Moniteur de garage et de barrière LiftMaster 829LM :</w:t>
      </w:r>
      <w:r w:rsidR="001273A1">
        <w:rPr>
          <w:lang w:val="fr-CA"/>
        </w:rPr>
        <w:t xml:space="preserve"> </w:t>
      </w:r>
      <w:r w:rsidRPr="00C82525">
        <w:rPr>
          <w:lang w:val="fr-CA"/>
        </w:rPr>
        <w:t>Permet la surveillance et le fonctionnement à distance.</w:t>
      </w:r>
    </w:p>
    <w:p w:rsidR="00BB1820" w:rsidRPr="00C82525" w:rsidRDefault="00BB1820" w:rsidP="00BB1820">
      <w:pPr>
        <w:pStyle w:val="ARCATSubSub1"/>
        <w:rPr>
          <w:lang w:val="fr-CA"/>
        </w:rPr>
      </w:pPr>
      <w:r w:rsidRPr="00C82525">
        <w:rPr>
          <w:lang w:val="fr-CA"/>
        </w:rPr>
        <w:t>Télécommutateur d’éclairage LiftMaster 823LM : Commande l’éclairage à distance.</w:t>
      </w:r>
    </w:p>
    <w:p w:rsidR="00BB1820" w:rsidRPr="00C82525" w:rsidRDefault="00BB1820" w:rsidP="00BB1820">
      <w:pPr>
        <w:pStyle w:val="ARCATSubSub1"/>
        <w:rPr>
          <w:lang w:val="fr-CA"/>
        </w:rPr>
      </w:pPr>
      <w:r w:rsidRPr="00C82525">
        <w:rPr>
          <w:lang w:val="fr-CA"/>
        </w:rPr>
        <w:t>Télécommande d’éclairage LiftMaster 825LM :</w:t>
      </w:r>
      <w:r w:rsidR="001273A1">
        <w:rPr>
          <w:lang w:val="fr-CA"/>
        </w:rPr>
        <w:t xml:space="preserve"> </w:t>
      </w:r>
      <w:r w:rsidRPr="00C82525">
        <w:rPr>
          <w:lang w:val="fr-CA"/>
        </w:rPr>
        <w:t xml:space="preserve">Permet la surveillance et le fonctionnement à distance. </w:t>
      </w:r>
    </w:p>
    <w:p w:rsidR="00BB1820" w:rsidRPr="00C82525" w:rsidRDefault="00BB1820" w:rsidP="00BB1820">
      <w:pPr>
        <w:pStyle w:val="ARCATSubPara"/>
        <w:rPr>
          <w:lang w:val="fr-CA"/>
        </w:rPr>
      </w:pPr>
      <w:r w:rsidRPr="00C82525">
        <w:rPr>
          <w:lang w:val="fr-CA"/>
        </w:rPr>
        <w:t>Accessoires :</w:t>
      </w:r>
      <w:r w:rsidR="001273A1">
        <w:rPr>
          <w:lang w:val="fr-CA"/>
        </w:rPr>
        <w:t xml:space="preserve"> </w:t>
      </w:r>
      <w:r w:rsidRPr="00C82525">
        <w:rPr>
          <w:lang w:val="fr-CA"/>
        </w:rPr>
        <w:t>Dispositifs de surveillance de sécurité :</w:t>
      </w:r>
    </w:p>
    <w:p w:rsidR="00BB1820" w:rsidRPr="00C82525" w:rsidRDefault="00895143" w:rsidP="00BB1820">
      <w:pPr>
        <w:pStyle w:val="ARCATSubSub1"/>
        <w:rPr>
          <w:lang w:val="fr-CA"/>
        </w:rPr>
      </w:pPr>
      <w:r>
        <w:rPr>
          <w:lang w:val="fr-CA"/>
        </w:rPr>
        <w:t>Trousse</w:t>
      </w:r>
      <w:r w:rsidR="00BB1820" w:rsidRPr="00C82525">
        <w:rPr>
          <w:lang w:val="fr-CA"/>
        </w:rPr>
        <w:t>s de cellules photoélectriques surveillées et bordure sans fil</w:t>
      </w:r>
    </w:p>
    <w:p w:rsidR="00BB1820" w:rsidRPr="00C82525" w:rsidRDefault="00BB1820" w:rsidP="00BB1820">
      <w:pPr>
        <w:pStyle w:val="ARCATBlank"/>
        <w:numPr>
          <w:ilvl w:val="0"/>
          <w:numId w:val="64"/>
        </w:numPr>
        <w:rPr>
          <w:lang w:val="fr-CA"/>
        </w:rPr>
      </w:pPr>
      <w:r w:rsidRPr="00C82525">
        <w:rPr>
          <w:lang w:val="fr-CA"/>
        </w:rPr>
        <w:t>Cellules photoélectriques réfléchissantes LiftMaster LMRRU</w:t>
      </w:r>
      <w:r w:rsidR="002578AD">
        <w:rPr>
          <w:lang w:val="fr-CA"/>
        </w:rPr>
        <w:t>L</w:t>
      </w:r>
    </w:p>
    <w:p w:rsidR="00BB1820" w:rsidRPr="00C82525" w:rsidRDefault="00BB1820" w:rsidP="00BB1820">
      <w:pPr>
        <w:pStyle w:val="ARCATBlank"/>
        <w:numPr>
          <w:ilvl w:val="0"/>
          <w:numId w:val="64"/>
        </w:numPr>
        <w:rPr>
          <w:lang w:val="fr-CA"/>
        </w:rPr>
      </w:pPr>
      <w:r w:rsidRPr="00C82525">
        <w:rPr>
          <w:lang w:val="fr-CA"/>
        </w:rPr>
        <w:t>Cellules photoélectriques de type barrage LiftMaster LMTBU</w:t>
      </w:r>
      <w:r w:rsidR="002578AD">
        <w:rPr>
          <w:lang w:val="fr-CA"/>
        </w:rPr>
        <w:t>L</w:t>
      </w:r>
    </w:p>
    <w:p w:rsidR="00BB1820" w:rsidRPr="00C82525" w:rsidRDefault="00895143" w:rsidP="00BB1820">
      <w:pPr>
        <w:pStyle w:val="ARCATBlank"/>
        <w:numPr>
          <w:ilvl w:val="0"/>
          <w:numId w:val="64"/>
        </w:numPr>
        <w:rPr>
          <w:lang w:val="fr-CA"/>
        </w:rPr>
      </w:pPr>
      <w:r>
        <w:rPr>
          <w:lang w:val="fr-CA"/>
        </w:rPr>
        <w:t>Trousse</w:t>
      </w:r>
      <w:r w:rsidR="00BB1820" w:rsidRPr="00C82525">
        <w:rPr>
          <w:lang w:val="fr-CA"/>
        </w:rPr>
        <w:t xml:space="preserve"> de bordure sans fil LiftMaster LMWEKITU avec émetteur et récepteur.</w:t>
      </w:r>
    </w:p>
    <w:p w:rsidR="00BB1820" w:rsidRPr="00C82525" w:rsidRDefault="00BB1820" w:rsidP="00BB1820">
      <w:pPr>
        <w:pStyle w:val="ARCATBlank"/>
        <w:numPr>
          <w:ilvl w:val="0"/>
          <w:numId w:val="64"/>
        </w:numPr>
        <w:rPr>
          <w:lang w:val="fr-CA"/>
        </w:rPr>
      </w:pPr>
      <w:r w:rsidRPr="00C82525">
        <w:rPr>
          <w:lang w:val="fr-CA"/>
        </w:rPr>
        <w:t>Émetteur-récepteur de bordure sans fil LiftMaster LMWETXU</w:t>
      </w:r>
    </w:p>
    <w:p w:rsidR="00BB1820" w:rsidRPr="00C82525" w:rsidRDefault="00BB1820" w:rsidP="00BB1820">
      <w:pPr>
        <w:pStyle w:val="ARCATSubSub1"/>
        <w:rPr>
          <w:lang w:val="fr-CA"/>
        </w:rPr>
      </w:pPr>
      <w:r w:rsidRPr="00C82525">
        <w:rPr>
          <w:lang w:val="fr-CA"/>
        </w:rPr>
        <w:t>Bordures surveillées câblées (exigent toutes l’utilisation du modèle LMWEKITU)</w:t>
      </w:r>
    </w:p>
    <w:p w:rsidR="00BB1820" w:rsidRPr="00C82525" w:rsidRDefault="00BB1820" w:rsidP="00BB1820">
      <w:pPr>
        <w:pStyle w:val="ARCATBlank"/>
        <w:numPr>
          <w:ilvl w:val="0"/>
          <w:numId w:val="65"/>
        </w:numPr>
        <w:rPr>
          <w:lang w:val="fr-CA"/>
        </w:rPr>
      </w:pPr>
      <w:r w:rsidRPr="00C82525">
        <w:rPr>
          <w:lang w:val="fr-CA"/>
        </w:rPr>
        <w:t>Bordure surveillée à faible profil LiftMaster S50</w:t>
      </w:r>
    </w:p>
    <w:p w:rsidR="00BB1820" w:rsidRPr="00C82525" w:rsidRDefault="00BB1820" w:rsidP="00BB1820">
      <w:pPr>
        <w:pStyle w:val="ARCATBlank"/>
        <w:numPr>
          <w:ilvl w:val="0"/>
          <w:numId w:val="65"/>
        </w:numPr>
        <w:rPr>
          <w:lang w:val="fr-CA"/>
        </w:rPr>
      </w:pPr>
      <w:r w:rsidRPr="00C82525">
        <w:rPr>
          <w:lang w:val="fr-CA"/>
        </w:rPr>
        <w:t>Bordure surveillée à profil large LiftMaster L50</w:t>
      </w:r>
    </w:p>
    <w:p w:rsidR="00BB1820" w:rsidRPr="00C82525" w:rsidRDefault="00BB1820" w:rsidP="00BB1820">
      <w:pPr>
        <w:pStyle w:val="ARCATBlank"/>
        <w:numPr>
          <w:ilvl w:val="0"/>
          <w:numId w:val="65"/>
        </w:numPr>
        <w:rPr>
          <w:lang w:val="fr-CA"/>
        </w:rPr>
      </w:pPr>
      <w:r w:rsidRPr="00C82525">
        <w:rPr>
          <w:lang w:val="fr-CA"/>
        </w:rPr>
        <w:t>Bordure surveillée carrée enveloppante de 1 219 mm (4 pi) LiftMaster WS4</w:t>
      </w:r>
    </w:p>
    <w:p w:rsidR="00BB1820" w:rsidRPr="00C82525" w:rsidRDefault="00BB1820" w:rsidP="00BB1820">
      <w:pPr>
        <w:pStyle w:val="ARCATBlank"/>
        <w:numPr>
          <w:ilvl w:val="0"/>
          <w:numId w:val="65"/>
        </w:numPr>
        <w:rPr>
          <w:lang w:val="fr-CA"/>
        </w:rPr>
      </w:pPr>
      <w:r w:rsidRPr="00C82525">
        <w:rPr>
          <w:lang w:val="fr-CA"/>
        </w:rPr>
        <w:t>Bordure surveillée carrée enveloppante de 1 524 mm (5 pi) LiftMaster WS5</w:t>
      </w:r>
    </w:p>
    <w:p w:rsidR="00BB1820" w:rsidRPr="00C82525" w:rsidRDefault="00BB1820" w:rsidP="00BB1820">
      <w:pPr>
        <w:pStyle w:val="ARCATBlank"/>
        <w:numPr>
          <w:ilvl w:val="0"/>
          <w:numId w:val="65"/>
        </w:numPr>
        <w:rPr>
          <w:lang w:val="fr-CA"/>
        </w:rPr>
      </w:pPr>
      <w:r w:rsidRPr="00C82525">
        <w:rPr>
          <w:lang w:val="fr-CA"/>
        </w:rPr>
        <w:t>Bordure surveillée carrée enveloppante de 1 829 mm (6 pi) LiftMaster WS6</w:t>
      </w:r>
    </w:p>
    <w:p w:rsidR="00BB1820" w:rsidRPr="00C82525" w:rsidRDefault="00BB1820" w:rsidP="00BB1820">
      <w:pPr>
        <w:pStyle w:val="ARCATBlank"/>
        <w:numPr>
          <w:ilvl w:val="0"/>
          <w:numId w:val="65"/>
        </w:numPr>
        <w:rPr>
          <w:lang w:val="fr-CA"/>
        </w:rPr>
      </w:pPr>
      <w:r w:rsidRPr="00C82525">
        <w:rPr>
          <w:lang w:val="fr-CA"/>
        </w:rPr>
        <w:t>Bordure surveillée carrée enveloppante de 1 219 mm (4 pi) LiftMaster WR4</w:t>
      </w:r>
    </w:p>
    <w:p w:rsidR="00BB1820" w:rsidRPr="00C82525" w:rsidRDefault="00BB1820" w:rsidP="00BB1820">
      <w:pPr>
        <w:pStyle w:val="ARCATBlank"/>
        <w:numPr>
          <w:ilvl w:val="0"/>
          <w:numId w:val="65"/>
        </w:numPr>
        <w:rPr>
          <w:lang w:val="fr-CA"/>
        </w:rPr>
      </w:pPr>
      <w:r w:rsidRPr="00C82525">
        <w:rPr>
          <w:lang w:val="fr-CA"/>
        </w:rPr>
        <w:t>Bordure surveillée carrée enveloppante de 1 524 mm (5 pi) LiftMaster WR5</w:t>
      </w:r>
    </w:p>
    <w:p w:rsidR="00BB1820" w:rsidRPr="00C82525" w:rsidRDefault="00BB1820" w:rsidP="00BB1820">
      <w:pPr>
        <w:pStyle w:val="ARCATBlank"/>
        <w:numPr>
          <w:ilvl w:val="0"/>
          <w:numId w:val="65"/>
        </w:numPr>
        <w:rPr>
          <w:lang w:val="fr-CA"/>
        </w:rPr>
      </w:pPr>
      <w:r w:rsidRPr="00C82525">
        <w:rPr>
          <w:lang w:val="fr-CA"/>
        </w:rPr>
        <w:t>Bordure surveillée carrée enveloppante de 1 829 mm (6 pi) LiftMaster WR6</w:t>
      </w:r>
    </w:p>
    <w:p w:rsidR="00BB1820" w:rsidRPr="00C82525" w:rsidRDefault="00BB1820" w:rsidP="00BB1820">
      <w:pPr>
        <w:pStyle w:val="ARCATSubPara"/>
        <w:rPr>
          <w:lang w:val="fr-CA"/>
        </w:rPr>
      </w:pPr>
      <w:r w:rsidRPr="00C82525">
        <w:rPr>
          <w:lang w:val="fr-CA"/>
        </w:rPr>
        <w:t>Accessoires :</w:t>
      </w:r>
      <w:r w:rsidR="001273A1">
        <w:rPr>
          <w:lang w:val="fr-CA"/>
        </w:rPr>
        <w:t xml:space="preserve"> </w:t>
      </w:r>
      <w:r w:rsidRPr="00C82525">
        <w:rPr>
          <w:lang w:val="fr-CA"/>
        </w:rPr>
        <w:t>Fournir les accessoires en options indiqués ci-dessous.</w:t>
      </w:r>
    </w:p>
    <w:p w:rsidR="00BB1820" w:rsidRPr="00C82525" w:rsidRDefault="00BB1820" w:rsidP="00BB1820">
      <w:pPr>
        <w:pStyle w:val="ARCATSubSub1"/>
        <w:rPr>
          <w:lang w:val="fr-CA"/>
        </w:rPr>
      </w:pPr>
      <w:r w:rsidRPr="00C82525">
        <w:rPr>
          <w:lang w:val="fr-CA"/>
        </w:rPr>
        <w:t>Détecteur à boucle enfichable LiftMaster LOOPDETLM</w:t>
      </w:r>
    </w:p>
    <w:p w:rsidR="00BB1820" w:rsidRPr="00C82525" w:rsidRDefault="00BB1820" w:rsidP="00BB1820">
      <w:pPr>
        <w:pStyle w:val="ARCATSubSub1"/>
        <w:rPr>
          <w:lang w:val="fr-CA"/>
        </w:rPr>
      </w:pPr>
      <w:r w:rsidRPr="00C82525">
        <w:rPr>
          <w:lang w:val="fr-CA"/>
        </w:rPr>
        <w:t>Clavier commercial sans fil LiftMaster KPW250</w:t>
      </w:r>
    </w:p>
    <w:p w:rsidR="00BB1820" w:rsidRPr="00C82525" w:rsidRDefault="00BB1820" w:rsidP="00BB1820">
      <w:pPr>
        <w:pStyle w:val="ARCATSubSub1"/>
        <w:rPr>
          <w:lang w:val="fr-CA"/>
        </w:rPr>
      </w:pPr>
      <w:r w:rsidRPr="00C82525">
        <w:rPr>
          <w:lang w:val="fr-CA"/>
        </w:rPr>
        <w:t>Télécommande programmable à deux boutons Security+ 2.0 LiftMaster 892LT</w:t>
      </w:r>
    </w:p>
    <w:p w:rsidR="00BB1820" w:rsidRPr="00C82525" w:rsidRDefault="00BB1820" w:rsidP="00BB1820">
      <w:pPr>
        <w:pStyle w:val="ARCATSubSub1"/>
        <w:rPr>
          <w:lang w:val="fr-CA"/>
        </w:rPr>
      </w:pPr>
      <w:r w:rsidRPr="00C82525">
        <w:rPr>
          <w:lang w:val="fr-CA"/>
        </w:rPr>
        <w:t>Télécommande programmable à quatre boutons Security+ 2.0 LiftMaster 894LT</w:t>
      </w:r>
    </w:p>
    <w:p w:rsidR="00BB1820" w:rsidRPr="00C82525" w:rsidRDefault="00BB1820" w:rsidP="00BB1820">
      <w:pPr>
        <w:pStyle w:val="ARCATSubSub1"/>
        <w:rPr>
          <w:lang w:val="fr-CA"/>
        </w:rPr>
      </w:pPr>
      <w:r w:rsidRPr="00C82525">
        <w:rPr>
          <w:lang w:val="fr-CA"/>
        </w:rPr>
        <w:t>Télécommande à 1 bouton avec commutateur DIP encodé LiftMaster 811LM</w:t>
      </w:r>
    </w:p>
    <w:p w:rsidR="00BB1820" w:rsidRPr="00C82525" w:rsidRDefault="00BB1820" w:rsidP="00BB1820">
      <w:pPr>
        <w:pStyle w:val="ARCATSubSub1"/>
        <w:rPr>
          <w:lang w:val="fr-CA"/>
        </w:rPr>
      </w:pPr>
      <w:r w:rsidRPr="00C82525">
        <w:rPr>
          <w:lang w:val="fr-CA"/>
        </w:rPr>
        <w:t>Télécommande à 3 boutons avec commutateur DIP encodé LiftMaster 813LM</w:t>
      </w:r>
    </w:p>
    <w:p w:rsidR="00BB1820" w:rsidRPr="00C82525" w:rsidRDefault="00BB1820" w:rsidP="00BB1820">
      <w:pPr>
        <w:pStyle w:val="ARCATSubSub1"/>
        <w:rPr>
          <w:lang w:val="fr-CA"/>
        </w:rPr>
      </w:pPr>
      <w:r w:rsidRPr="00C82525">
        <w:rPr>
          <w:lang w:val="fr-CA"/>
        </w:rPr>
        <w:t>Système de contrôle d’accès par protocole Internet LiftMaster IPAC</w:t>
      </w:r>
    </w:p>
    <w:p w:rsidR="00BB1820" w:rsidRPr="00C82525" w:rsidRDefault="00BB1820" w:rsidP="00BB1820">
      <w:pPr>
        <w:pStyle w:val="ARCATSubSub1"/>
        <w:rPr>
          <w:lang w:val="fr-CA"/>
        </w:rPr>
      </w:pPr>
      <w:r w:rsidRPr="00C82525">
        <w:rPr>
          <w:lang w:val="fr-CA"/>
        </w:rPr>
        <w:t>Système d’accès par téléphone en acier inoxydable pour service commercial et ensembles résidentiels protégés LiftMaster EL2000SS.</w:t>
      </w:r>
    </w:p>
    <w:p w:rsidR="00BB1820" w:rsidRPr="00C82525" w:rsidRDefault="00BB1820" w:rsidP="00BB1820">
      <w:pPr>
        <w:pStyle w:val="ARCATSubSub1"/>
        <w:rPr>
          <w:lang w:val="fr-CA"/>
        </w:rPr>
      </w:pPr>
      <w:r w:rsidRPr="00C82525">
        <w:rPr>
          <w:lang w:val="fr-CA"/>
        </w:rPr>
        <w:t>Récepteur de contrôle d’accès commercial LiftMaster STAR1000</w:t>
      </w:r>
    </w:p>
    <w:p w:rsidR="00BB1820" w:rsidRPr="00C82525" w:rsidRDefault="00BB1820" w:rsidP="00BB1820">
      <w:pPr>
        <w:pStyle w:val="ARCATSubSub1"/>
        <w:rPr>
          <w:lang w:val="fr-CA"/>
        </w:rPr>
      </w:pPr>
      <w:r w:rsidRPr="00C82525">
        <w:rPr>
          <w:lang w:val="fr-CA"/>
        </w:rPr>
        <w:t>Récepteur LiftMasterPassport PPWR avec technologie Security+ 2.0</w:t>
      </w:r>
    </w:p>
    <w:p w:rsidR="00BB1820" w:rsidRPr="00C82525" w:rsidRDefault="00BB1820" w:rsidP="00BB1820">
      <w:pPr>
        <w:pStyle w:val="ARCATSubSub1"/>
        <w:rPr>
          <w:lang w:val="fr-CA"/>
        </w:rPr>
      </w:pPr>
      <w:r w:rsidRPr="00C82525">
        <w:rPr>
          <w:lang w:val="fr-CA"/>
        </w:rPr>
        <w:t>Télécommande à 1 bouton LiftMasterPassport PPV1</w:t>
      </w:r>
    </w:p>
    <w:p w:rsidR="00BB1820" w:rsidRPr="00C82525" w:rsidRDefault="00BB1820" w:rsidP="00BB1820">
      <w:pPr>
        <w:pStyle w:val="ARCATSubSub1"/>
        <w:rPr>
          <w:lang w:val="fr-CA"/>
        </w:rPr>
      </w:pPr>
      <w:r w:rsidRPr="00C82525">
        <w:rPr>
          <w:lang w:val="fr-CA"/>
        </w:rPr>
        <w:t>Mini-télécommande à 1 bouton LiftMasterPassport PPK1</w:t>
      </w:r>
    </w:p>
    <w:p w:rsidR="00BB1820" w:rsidRPr="00C82525" w:rsidRDefault="00BB1820" w:rsidP="00BB1820">
      <w:pPr>
        <w:pStyle w:val="ARCATSubSub1"/>
        <w:rPr>
          <w:lang w:val="fr-CA"/>
        </w:rPr>
      </w:pPr>
      <w:r w:rsidRPr="00C82525">
        <w:rPr>
          <w:lang w:val="fr-CA"/>
        </w:rPr>
        <w:lastRenderedPageBreak/>
        <w:t>Clavier de contrôle d’accès et lecteur de proximité LiftMaster KPR2000</w:t>
      </w:r>
    </w:p>
    <w:p w:rsidR="00BB1820" w:rsidRPr="00C82525" w:rsidRDefault="00895143" w:rsidP="00BB1820">
      <w:pPr>
        <w:pStyle w:val="ARCATSubSub1"/>
        <w:rPr>
          <w:lang w:val="fr-CA"/>
        </w:rPr>
      </w:pPr>
      <w:r>
        <w:rPr>
          <w:lang w:val="fr-CA"/>
        </w:rPr>
        <w:t>Trousse</w:t>
      </w:r>
      <w:r w:rsidR="00BB1820" w:rsidRPr="00C82525">
        <w:rPr>
          <w:lang w:val="fr-CA"/>
        </w:rPr>
        <w:t xml:space="preserve"> de chauffage LiftMaster HTRNB</w:t>
      </w:r>
    </w:p>
    <w:p w:rsidR="00BB1820" w:rsidRPr="00C82525" w:rsidRDefault="00BB1820" w:rsidP="00BB1820">
      <w:pPr>
        <w:pStyle w:val="ARCATSubSub1"/>
        <w:rPr>
          <w:lang w:val="fr-CA"/>
        </w:rPr>
      </w:pPr>
      <w:r w:rsidRPr="00C82525">
        <w:rPr>
          <w:lang w:val="fr-CA"/>
        </w:rPr>
        <w:t>Roues électriques LiftMaster, roues traitées à la chaleur de 101 mm (4 po) ou 152 mm (6 po)</w:t>
      </w:r>
    </w:p>
    <w:p w:rsidR="00F02E8E" w:rsidRDefault="00F02E8E">
      <w:pPr>
        <w:pStyle w:val="ARCATSubSub1"/>
        <w:numPr>
          <w:ilvl w:val="0"/>
          <w:numId w:val="0"/>
        </w:numPr>
        <w:ind w:left="2304"/>
        <w:rPr>
          <w:lang w:val="fr-CA"/>
        </w:rPr>
      </w:pPr>
    </w:p>
    <w:p w:rsidR="00BB1820" w:rsidRPr="00C82525" w:rsidRDefault="00BB1820" w:rsidP="00BB1820">
      <w:pPr>
        <w:pStyle w:val="ARCATBlank"/>
        <w:rPr>
          <w:lang w:val="fr-CA"/>
        </w:rPr>
      </w:pPr>
    </w:p>
    <w:p w:rsidR="00BB1820" w:rsidRPr="00895143" w:rsidRDefault="00BB1820" w:rsidP="00BB1820">
      <w:pPr>
        <w:pStyle w:val="ARCATBlank"/>
        <w:rPr>
          <w:lang w:val="fr-CA"/>
        </w:rPr>
      </w:pPr>
    </w:p>
    <w:p w:rsidR="00BB1820" w:rsidRPr="00C82525" w:rsidRDefault="00BB1820" w:rsidP="00BB1820">
      <w:pPr>
        <w:pStyle w:val="ARCATBlank"/>
        <w:rPr>
          <w:lang w:val="fr-CA"/>
        </w:rPr>
      </w:pPr>
    </w:p>
    <w:p w:rsidR="00BB1820" w:rsidRPr="00C82525" w:rsidRDefault="00BB1820" w:rsidP="00BB1820">
      <w:pPr>
        <w:pStyle w:val="ARCATPart"/>
        <w:rPr>
          <w:lang w:val="fr-CA"/>
        </w:rPr>
      </w:pPr>
      <w:r w:rsidRPr="00C82525">
        <w:rPr>
          <w:lang w:val="fr-CA"/>
        </w:rPr>
        <w:t>EXÉCUTION</w:t>
      </w:r>
    </w:p>
    <w:p w:rsidR="00BB1820" w:rsidRPr="00C82525" w:rsidRDefault="00BB1820" w:rsidP="00BB1820">
      <w:pPr>
        <w:pStyle w:val="ARCATBlank"/>
        <w:rPr>
          <w:lang w:val="fr-CA"/>
        </w:rPr>
      </w:pPr>
    </w:p>
    <w:p w:rsidR="00BB1820" w:rsidRPr="00C82525" w:rsidRDefault="00BB1820" w:rsidP="00BB1820">
      <w:pPr>
        <w:pStyle w:val="ARCATArticle"/>
        <w:rPr>
          <w:lang w:val="fr-CA"/>
        </w:rPr>
      </w:pPr>
      <w:r w:rsidRPr="00C82525">
        <w:rPr>
          <w:lang w:val="fr-CA"/>
        </w:rPr>
        <w:t>EXAMEN ET PRÉPARATION</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Inspecter et préparer les substrats selon les méthodes recommandées par le fabricant pour atteindre les meilleurs résultats sous les conditions du projet.</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Si la préparation est la responsabilité d’un autre installateur, aviser l’architecte par écrit des écarts en ce qui concerne les tolérances et les conditions d’installation recommandées par le fabricant.</w:t>
      </w:r>
    </w:p>
    <w:p w:rsidR="00BB1820" w:rsidRPr="00C82525" w:rsidRDefault="00BB1820" w:rsidP="00BB1820">
      <w:pPr>
        <w:pStyle w:val="ARCATBlank"/>
        <w:rPr>
          <w:lang w:val="fr-CA"/>
        </w:rPr>
      </w:pPr>
    </w:p>
    <w:p w:rsidR="00BB1820" w:rsidRPr="00C82525" w:rsidRDefault="00BB1820" w:rsidP="00BB1820">
      <w:pPr>
        <w:pStyle w:val="ARCATArticle"/>
        <w:rPr>
          <w:lang w:val="fr-CA"/>
        </w:rPr>
      </w:pPr>
      <w:r w:rsidRPr="00C82525">
        <w:rPr>
          <w:lang w:val="fr-CA"/>
        </w:rPr>
        <w:t>INSTALLATION</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Installer conformément aux instructions du fabricant.</w:t>
      </w:r>
      <w:r w:rsidR="001273A1">
        <w:rPr>
          <w:lang w:val="fr-CA"/>
        </w:rPr>
        <w:t xml:space="preserve"> </w:t>
      </w:r>
      <w:r w:rsidRPr="00C82525">
        <w:rPr>
          <w:lang w:val="fr-CA"/>
        </w:rPr>
        <w:t>Mettre l’actionneur à l’essai pour assurer son bon fonctionnement et faire les réglages nécessaires jusqu’à ce que des résultats satisfaisants aient été obtenus.</w:t>
      </w:r>
    </w:p>
    <w:p w:rsidR="00BB1820" w:rsidRPr="00C82525" w:rsidRDefault="00BB1820" w:rsidP="00BB1820">
      <w:pPr>
        <w:pStyle w:val="ARCATBlank"/>
        <w:rPr>
          <w:lang w:val="fr-CA"/>
        </w:rPr>
      </w:pPr>
    </w:p>
    <w:p w:rsidR="00BB1820" w:rsidRPr="00C82525" w:rsidRDefault="00BB1820" w:rsidP="00BB1820">
      <w:pPr>
        <w:pStyle w:val="ARCATArticle"/>
        <w:rPr>
          <w:lang w:val="fr-CA"/>
        </w:rPr>
      </w:pPr>
      <w:r w:rsidRPr="00C82525">
        <w:rPr>
          <w:lang w:val="fr-CA"/>
        </w:rPr>
        <w:t>PROTECTION</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Protéger les produits installés jusqu’à l’achèvement du projet.</w:t>
      </w:r>
      <w:r w:rsidR="001273A1">
        <w:rPr>
          <w:lang w:val="fr-CA"/>
        </w:rPr>
        <w:t xml:space="preserve"> </w:t>
      </w:r>
    </w:p>
    <w:p w:rsidR="00BB1820" w:rsidRPr="00C82525" w:rsidRDefault="00BB1820" w:rsidP="00BB1820">
      <w:pPr>
        <w:pStyle w:val="ARCATBlank"/>
        <w:rPr>
          <w:lang w:val="fr-CA"/>
        </w:rPr>
      </w:pPr>
    </w:p>
    <w:p w:rsidR="00BB1820" w:rsidRPr="00C82525" w:rsidRDefault="00BB1820" w:rsidP="00BB1820">
      <w:pPr>
        <w:pStyle w:val="ARCATParagraph"/>
        <w:rPr>
          <w:lang w:val="fr-CA"/>
        </w:rPr>
      </w:pPr>
      <w:r w:rsidRPr="00C82525">
        <w:rPr>
          <w:lang w:val="fr-CA"/>
        </w:rPr>
        <w:t>Retoucher, réparer ou remplacer les produits endommagés avant le quasi-achèvement du projet.</w:t>
      </w:r>
    </w:p>
    <w:p w:rsidR="00BB1820" w:rsidRPr="00C82525" w:rsidRDefault="00BB1820" w:rsidP="00BB1820">
      <w:pPr>
        <w:pStyle w:val="ARCATBlank"/>
        <w:rPr>
          <w:lang w:val="fr-CA"/>
        </w:rPr>
      </w:pPr>
    </w:p>
    <w:p w:rsidR="00BB1820" w:rsidRPr="00C82525" w:rsidRDefault="00BB1820" w:rsidP="00BB1820">
      <w:pPr>
        <w:pStyle w:val="ARCATEndOfSection"/>
        <w:outlineLvl w:val="0"/>
        <w:rPr>
          <w:lang w:val="fr-CA"/>
        </w:rPr>
      </w:pPr>
      <w:r w:rsidRPr="00C82525">
        <w:rPr>
          <w:lang w:val="fr-CA"/>
        </w:rPr>
        <w:tab/>
        <w:t>FIN DE LA SECTION</w:t>
      </w:r>
    </w:p>
    <w:p w:rsidR="00BB1820" w:rsidRPr="00C82525" w:rsidRDefault="00BB1820" w:rsidP="00BB1820">
      <w:pPr>
        <w:pStyle w:val="ARCATBlank"/>
        <w:rPr>
          <w:lang w:val="fr-CA"/>
        </w:rPr>
      </w:pPr>
    </w:p>
    <w:sectPr w:rsidR="00BB1820" w:rsidRPr="00C82525" w:rsidSect="001B0F6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710" w:rsidRPr="00C82525" w:rsidRDefault="00847710">
      <w:pPr>
        <w:spacing w:line="20" w:lineRule="exact"/>
        <w:rPr>
          <w:lang w:val="fr-CA"/>
        </w:rPr>
      </w:pPr>
    </w:p>
  </w:endnote>
  <w:endnote w:type="continuationSeparator" w:id="0">
    <w:p w:rsidR="00847710" w:rsidRPr="00C82525" w:rsidRDefault="00847710">
      <w:pPr>
        <w:rPr>
          <w:lang w:val="fr-CA"/>
        </w:rPr>
      </w:pPr>
    </w:p>
  </w:endnote>
  <w:endnote w:type="continuationNotice" w:id="1">
    <w:p w:rsidR="00847710" w:rsidRPr="00C82525" w:rsidRDefault="00847710">
      <w:pPr>
        <w:rPr>
          <w:lang w:val="fr-CA"/>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NeueLT-Bold">
    <w:altName w:val="Times New Roman"/>
    <w:charset w:val="00"/>
    <w:family w:val="roman"/>
    <w:pitch w:val="variable"/>
    <w:sig w:usb0="00000000" w:usb1="00000000" w:usb2="00000000" w:usb3="00000000" w:csb0="00000000" w:csb1="00000000"/>
  </w:font>
  <w:font w:name="HelveticaNeueLT-Roman">
    <w:altName w:val="Times New Roman"/>
    <w:charset w:val="00"/>
    <w:family w:val="roman"/>
    <w:pitch w:val="variable"/>
    <w:sig w:usb0="00000000" w:usb1="00000000" w:usb2="00000000" w:usb3="00000000" w:csb0="00000000" w:csb1="00000000"/>
  </w:font>
  <w:font w:name="HelveticaNeueLT-Medium">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20" w:rsidRPr="00C82525" w:rsidRDefault="00BB1820">
    <w:pPr>
      <w:pStyle w:val="Pieddepage"/>
      <w:rPr>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91" w:rsidRPr="00C82525" w:rsidRDefault="00572D91" w:rsidP="001B0F68">
    <w:pPr>
      <w:pStyle w:val="Pieddepage"/>
      <w:rPr>
        <w:lang w:val="fr-CA"/>
      </w:rPr>
    </w:pPr>
    <w:r w:rsidRPr="00C82525">
      <w:rPr>
        <w:lang w:val="fr-CA"/>
      </w:rPr>
      <w:tab/>
      <w:t>02829-</w:t>
    </w:r>
    <w:r w:rsidR="009F3F44" w:rsidRPr="00C82525">
      <w:rPr>
        <w:lang w:val="fr-CA"/>
      </w:rPr>
      <w:fldChar w:fldCharType="begin"/>
    </w:r>
    <w:r w:rsidRPr="00C82525">
      <w:rPr>
        <w:lang w:val="fr-CA"/>
      </w:rPr>
      <w:instrText>page \* arabic</w:instrText>
    </w:r>
    <w:r w:rsidR="009F3F44" w:rsidRPr="00C82525">
      <w:rPr>
        <w:lang w:val="fr-CA"/>
      </w:rPr>
      <w:fldChar w:fldCharType="separate"/>
    </w:r>
    <w:r w:rsidR="00F52838">
      <w:rPr>
        <w:noProof/>
        <w:lang w:val="fr-CA"/>
      </w:rPr>
      <w:t>6</w:t>
    </w:r>
    <w:r w:rsidR="009F3F44" w:rsidRPr="00C82525">
      <w:rPr>
        <w:lang w:val="fr-C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20" w:rsidRPr="00C82525" w:rsidRDefault="00BB1820">
    <w:pPr>
      <w:pStyle w:val="Pieddepage"/>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710" w:rsidRPr="00C82525" w:rsidRDefault="00847710">
      <w:pPr>
        <w:rPr>
          <w:lang w:val="fr-CA"/>
        </w:rPr>
      </w:pPr>
      <w:r w:rsidRPr="00C82525">
        <w:rPr>
          <w:lang w:val="fr-CA"/>
        </w:rPr>
        <w:separator/>
      </w:r>
    </w:p>
  </w:footnote>
  <w:footnote w:type="continuationSeparator" w:id="0">
    <w:p w:rsidR="00847710" w:rsidRPr="00C82525" w:rsidRDefault="00847710">
      <w:pPr>
        <w:rPr>
          <w:lang w:val="fr-CA"/>
        </w:rPr>
      </w:pPr>
      <w:r w:rsidRPr="00C82525">
        <w:rPr>
          <w:lang w:val="fr-C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20" w:rsidRPr="00C82525" w:rsidRDefault="00BB1820">
    <w:pPr>
      <w:pStyle w:val="En-tte"/>
      <w:rPr>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20" w:rsidRPr="00C82525" w:rsidRDefault="00BB1820">
    <w:pPr>
      <w:pStyle w:val="En-tte"/>
      <w:rPr>
        <w:lang w:val="fr-C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20" w:rsidRPr="00C82525" w:rsidRDefault="00BB1820">
    <w:pPr>
      <w:pStyle w:val="En-tte"/>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Titre1"/>
      <w:lvlText w:val="%1"/>
      <w:legacy w:legacy="1" w:legacySpace="0" w:legacyIndent="0"/>
      <w:lvlJc w:val="left"/>
      <w:rPr>
        <w:rFonts w:ascii="Times New Roman" w:hAnsi="Times New Roman" w:hint="default"/>
      </w:rPr>
    </w:lvl>
    <w:lvl w:ilvl="1">
      <w:start w:val="1"/>
      <w:numFmt w:val="decimal"/>
      <w:pStyle w:val="Titre2"/>
      <w:lvlText w:val="%1.%2"/>
      <w:legacy w:legacy="1" w:legacySpace="0" w:legacyIndent="0"/>
      <w:lvlJc w:val="left"/>
      <w:rPr>
        <w:rFonts w:ascii="Times New Roman" w:hAnsi="Times New Roman" w:hint="default"/>
      </w:rPr>
    </w:lvl>
    <w:lvl w:ilvl="2">
      <w:start w:val="1"/>
      <w:numFmt w:val="upperLetter"/>
      <w:pStyle w:val="Titre3"/>
      <w:lvlText w:val="%3."/>
      <w:legacy w:legacy="1" w:legacySpace="0" w:legacyIndent="0"/>
      <w:lvlJc w:val="left"/>
      <w:rPr>
        <w:rFonts w:ascii="Times New Roman" w:hAnsi="Times New Roman" w:hint="default"/>
      </w:rPr>
    </w:lvl>
    <w:lvl w:ilvl="3">
      <w:start w:val="1"/>
      <w:numFmt w:val="decimal"/>
      <w:pStyle w:val="Titre4"/>
      <w:lvlText w:val="%4."/>
      <w:legacy w:legacy="1" w:legacySpace="0" w:legacyIndent="0"/>
      <w:lvlJc w:val="left"/>
      <w:rPr>
        <w:rFonts w:ascii="Times New Roman" w:hAnsi="Times New Roman" w:hint="default"/>
      </w:rPr>
    </w:lvl>
    <w:lvl w:ilvl="4">
      <w:start w:val="1"/>
      <w:numFmt w:val="lowerLetter"/>
      <w:pStyle w:val="Titre5"/>
      <w:lvlText w:val="%5."/>
      <w:legacy w:legacy="1" w:legacySpace="0" w:legacyIndent="0"/>
      <w:lvlJc w:val="left"/>
      <w:rPr>
        <w:rFonts w:ascii="Times New Roman" w:hAnsi="Times New Roman" w:hint="default"/>
      </w:rPr>
    </w:lvl>
    <w:lvl w:ilvl="5">
      <w:start w:val="1"/>
      <w:numFmt w:val="decimal"/>
      <w:pStyle w:val="Titre6"/>
      <w:lvlText w:val="%6)"/>
      <w:legacy w:legacy="1" w:legacySpace="0" w:legacyIndent="0"/>
      <w:lvlJc w:val="left"/>
      <w:rPr>
        <w:rFonts w:ascii="Times New Roman" w:hAnsi="Times New Roman" w:hint="default"/>
      </w:rPr>
    </w:lvl>
    <w:lvl w:ilvl="6">
      <w:start w:val="1"/>
      <w:numFmt w:val="lowerLetter"/>
      <w:pStyle w:val="Titre7"/>
      <w:lvlText w:val="%7)"/>
      <w:legacy w:legacy="1" w:legacySpace="0" w:legacyIndent="0"/>
      <w:lvlJc w:val="left"/>
      <w:rPr>
        <w:rFonts w:ascii="Times New Roman" w:hAnsi="Times New Roman" w:hint="default"/>
      </w:rPr>
    </w:lvl>
    <w:lvl w:ilvl="7">
      <w:start w:val="1"/>
      <w:numFmt w:val="lowerRoman"/>
      <w:pStyle w:val="Titre8"/>
      <w:lvlText w:val="%8."/>
      <w:legacy w:legacy="1" w:legacySpace="0" w:legacyIndent="0"/>
      <w:lvlJc w:val="left"/>
      <w:rPr>
        <w:rFonts w:ascii="Times New Roman" w:hAnsi="Times New Roman" w:hint="default"/>
      </w:rPr>
    </w:lvl>
    <w:lvl w:ilvl="8">
      <w:numFmt w:val="none"/>
      <w:lvlText w:val=""/>
      <w:lvlJc w:val="left"/>
    </w:lvl>
  </w:abstractNum>
  <w:abstractNum w:abstractNumId="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20827E8"/>
    <w:multiLevelType w:val="hybridMultilevel"/>
    <w:tmpl w:val="415CBE68"/>
    <w:lvl w:ilvl="0" w:tplc="B10216A4">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35F7A"/>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70D24"/>
    <w:multiLevelType w:val="hybridMultilevel"/>
    <w:tmpl w:val="8B547642"/>
    <w:lvl w:ilvl="0" w:tplc="702CE566">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74A94"/>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84218"/>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7">
    <w:nsid w:val="0CC64274"/>
    <w:multiLevelType w:val="hybridMultilevel"/>
    <w:tmpl w:val="3E18794A"/>
    <w:lvl w:ilvl="0" w:tplc="2996E216">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604DB"/>
    <w:multiLevelType w:val="hybridMultilevel"/>
    <w:tmpl w:val="8A148E9A"/>
    <w:lvl w:ilvl="0" w:tplc="86ACEB4C">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E10A4A"/>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4E154B"/>
    <w:multiLevelType w:val="hybridMultilevel"/>
    <w:tmpl w:val="0748D396"/>
    <w:lvl w:ilvl="0" w:tplc="70A6EAE0">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11">
    <w:nsid w:val="16C0690E"/>
    <w:multiLevelType w:val="hybridMultilevel"/>
    <w:tmpl w:val="21040C62"/>
    <w:lvl w:ilvl="0" w:tplc="710AFB8E">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D4469"/>
    <w:multiLevelType w:val="hybridMultilevel"/>
    <w:tmpl w:val="21040C62"/>
    <w:lvl w:ilvl="0" w:tplc="710AFB8E">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55AA4"/>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871E3"/>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614CA"/>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16">
    <w:nsid w:val="241B6B3A"/>
    <w:multiLevelType w:val="hybridMultilevel"/>
    <w:tmpl w:val="E05264D0"/>
    <w:lvl w:ilvl="0" w:tplc="06C62AA4">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18">
    <w:nsid w:val="27534659"/>
    <w:multiLevelType w:val="hybridMultilevel"/>
    <w:tmpl w:val="0748D396"/>
    <w:lvl w:ilvl="0" w:tplc="70A6EAE0">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19">
    <w:nsid w:val="29F85547"/>
    <w:multiLevelType w:val="hybridMultilevel"/>
    <w:tmpl w:val="21040C62"/>
    <w:lvl w:ilvl="0" w:tplc="710AFB8E">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9510A"/>
    <w:multiLevelType w:val="hybridMultilevel"/>
    <w:tmpl w:val="8A148E9A"/>
    <w:lvl w:ilvl="0" w:tplc="86ACEB4C">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6403F"/>
    <w:multiLevelType w:val="hybridMultilevel"/>
    <w:tmpl w:val="064002FC"/>
    <w:lvl w:ilvl="0" w:tplc="81CCD92E">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2">
    <w:nsid w:val="34A969CC"/>
    <w:multiLevelType w:val="hybridMultilevel"/>
    <w:tmpl w:val="21040C62"/>
    <w:lvl w:ilvl="0" w:tplc="710AFB8E">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6C6FE5"/>
    <w:multiLevelType w:val="hybridMultilevel"/>
    <w:tmpl w:val="D7B85312"/>
    <w:lvl w:ilvl="0" w:tplc="2C087C6A">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0A0EC4"/>
    <w:multiLevelType w:val="hybridMultilevel"/>
    <w:tmpl w:val="21040C62"/>
    <w:lvl w:ilvl="0" w:tplc="710AFB8E">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A64F59"/>
    <w:multiLevelType w:val="hybridMultilevel"/>
    <w:tmpl w:val="9FA28BA8"/>
    <w:lvl w:ilvl="0" w:tplc="404E5AB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AE02FB"/>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7">
    <w:nsid w:val="3A87173B"/>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8">
    <w:nsid w:val="3D2158FF"/>
    <w:multiLevelType w:val="multilevel"/>
    <w:tmpl w:val="2BF6DF42"/>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9">
    <w:nsid w:val="3FFC6B0F"/>
    <w:multiLevelType w:val="multilevel"/>
    <w:tmpl w:val="748A4B14"/>
    <w:lvl w:ilvl="0">
      <w:start w:val="2"/>
      <w:numFmt w:val="decimal"/>
      <w:lvlText w:val="%1"/>
      <w:lvlJc w:val="left"/>
      <w:pPr>
        <w:ind w:hanging="529"/>
      </w:pPr>
      <w:rPr>
        <w:rFonts w:hint="default"/>
      </w:rPr>
    </w:lvl>
    <w:lvl w:ilvl="1">
      <w:start w:val="1"/>
      <w:numFmt w:val="decimal"/>
      <w:lvlText w:val="%1.%2"/>
      <w:lvlJc w:val="left"/>
      <w:pPr>
        <w:ind w:hanging="529"/>
        <w:jc w:val="right"/>
      </w:pPr>
      <w:rPr>
        <w:rFonts w:ascii="HelveticaNeueLT-Bold" w:eastAsia="HelveticaNeueLT-Bold" w:hAnsi="HelveticaNeueLT-Bold" w:hint="default"/>
        <w:b/>
        <w:bCs/>
        <w:color w:val="231F20"/>
        <w:w w:val="101"/>
        <w:sz w:val="18"/>
        <w:szCs w:val="18"/>
      </w:rPr>
    </w:lvl>
    <w:lvl w:ilvl="2">
      <w:start w:val="1"/>
      <w:numFmt w:val="upperLetter"/>
      <w:lvlText w:val="%3."/>
      <w:lvlJc w:val="left"/>
      <w:pPr>
        <w:ind w:hanging="528"/>
      </w:pPr>
      <w:rPr>
        <w:rFonts w:ascii="HelveticaNeueLT-Roman" w:eastAsia="HelveticaNeueLT-Roman" w:hAnsi="HelveticaNeueLT-Roman" w:hint="default"/>
        <w:color w:val="231F20"/>
        <w:w w:val="101"/>
        <w:sz w:val="18"/>
        <w:szCs w:val="18"/>
      </w:rPr>
    </w:lvl>
    <w:lvl w:ilvl="3">
      <w:start w:val="1"/>
      <w:numFmt w:val="decimal"/>
      <w:lvlText w:val="%4."/>
      <w:lvlJc w:val="left"/>
      <w:pPr>
        <w:ind w:hanging="539"/>
        <w:jc w:val="right"/>
      </w:pPr>
      <w:rPr>
        <w:rFonts w:ascii="HelveticaNeueLT-Medium" w:eastAsia="HelveticaNeueLT-Medium" w:hAnsi="HelveticaNeueLT-Medium" w:hint="default"/>
        <w:color w:val="231F20"/>
        <w:w w:val="101"/>
        <w:sz w:val="18"/>
        <w:szCs w:val="18"/>
      </w:rPr>
    </w:lvl>
    <w:lvl w:ilvl="4">
      <w:start w:val="1"/>
      <w:numFmt w:val="lowerLetter"/>
      <w:lvlText w:val="%5."/>
      <w:lvlJc w:val="left"/>
      <w:pPr>
        <w:ind w:hanging="528"/>
      </w:pPr>
      <w:rPr>
        <w:rFonts w:ascii="HelveticaNeueLT-Roman" w:eastAsia="HelveticaNeueLT-Roman" w:hAnsi="HelveticaNeueLT-Roman" w:hint="default"/>
        <w:b w:val="0"/>
        <w:color w:val="231F20"/>
        <w:w w:val="101"/>
        <w:sz w:val="18"/>
        <w:szCs w:val="18"/>
      </w:rPr>
    </w:lvl>
    <w:lvl w:ilvl="5">
      <w:start w:val="1"/>
      <w:numFmt w:val="decimal"/>
      <w:lvlText w:val="%6)"/>
      <w:lvlJc w:val="left"/>
      <w:pPr>
        <w:ind w:hanging="528"/>
      </w:pPr>
      <w:rPr>
        <w:rFonts w:ascii="HelveticaNeueLT-Roman" w:eastAsia="HelveticaNeueLT-Roman" w:hAnsi="HelveticaNeueLT-Roman" w:hint="default"/>
        <w:color w:val="231F20"/>
        <w:w w:val="101"/>
        <w:sz w:val="18"/>
        <w:szCs w:val="18"/>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408A2A81"/>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1A54CD"/>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32">
    <w:nsid w:val="414E0443"/>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33">
    <w:nsid w:val="43304075"/>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2F1031"/>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35">
    <w:nsid w:val="44E427FE"/>
    <w:multiLevelType w:val="hybridMultilevel"/>
    <w:tmpl w:val="71A2BD82"/>
    <w:lvl w:ilvl="0" w:tplc="C3005A0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36">
    <w:nsid w:val="452908B5"/>
    <w:multiLevelType w:val="hybridMultilevel"/>
    <w:tmpl w:val="525ABF62"/>
    <w:lvl w:ilvl="0" w:tplc="F4D88818">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5F1578"/>
    <w:multiLevelType w:val="hybridMultilevel"/>
    <w:tmpl w:val="21040C62"/>
    <w:lvl w:ilvl="0" w:tplc="710AFB8E">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4E4955"/>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FA2AD3"/>
    <w:multiLevelType w:val="hybridMultilevel"/>
    <w:tmpl w:val="12382AC8"/>
    <w:lvl w:ilvl="0" w:tplc="F1946CA0">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40">
    <w:nsid w:val="51864E08"/>
    <w:multiLevelType w:val="multilevel"/>
    <w:tmpl w:val="7772E044"/>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2016"/>
        </w:tabs>
        <w:ind w:left="2016" w:hanging="576"/>
      </w:pPr>
      <w:rPr>
        <w:rFonts w:hint="default"/>
        <w:color w:val="auto"/>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41">
    <w:nsid w:val="5263636C"/>
    <w:multiLevelType w:val="hybridMultilevel"/>
    <w:tmpl w:val="8A148E9A"/>
    <w:lvl w:ilvl="0" w:tplc="86ACEB4C">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710DAB"/>
    <w:multiLevelType w:val="hybridMultilevel"/>
    <w:tmpl w:val="21040C62"/>
    <w:lvl w:ilvl="0" w:tplc="710AFB8E">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A24A9D"/>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44">
    <w:nsid w:val="604A3203"/>
    <w:multiLevelType w:val="hybridMultilevel"/>
    <w:tmpl w:val="A1C8021E"/>
    <w:lvl w:ilvl="0" w:tplc="0C1E16B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556120"/>
    <w:multiLevelType w:val="hybridMultilevel"/>
    <w:tmpl w:val="8A148E9A"/>
    <w:lvl w:ilvl="0" w:tplc="86ACEB4C">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2C5D2F"/>
    <w:multiLevelType w:val="hybridMultilevel"/>
    <w:tmpl w:val="8A148E9A"/>
    <w:lvl w:ilvl="0" w:tplc="86ACEB4C">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E4394C"/>
    <w:multiLevelType w:val="hybridMultilevel"/>
    <w:tmpl w:val="0B46EF60"/>
    <w:lvl w:ilvl="0" w:tplc="A9EAF91A">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8">
    <w:nsid w:val="6927521D"/>
    <w:multiLevelType w:val="hybridMultilevel"/>
    <w:tmpl w:val="36B88308"/>
    <w:lvl w:ilvl="0" w:tplc="955C7DB0">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9">
    <w:nsid w:val="6FEB5B8D"/>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50">
    <w:nsid w:val="703D3528"/>
    <w:multiLevelType w:val="hybridMultilevel"/>
    <w:tmpl w:val="21040C62"/>
    <w:lvl w:ilvl="0" w:tplc="710AFB8E">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BA7D8B"/>
    <w:multiLevelType w:val="hybridMultilevel"/>
    <w:tmpl w:val="4956CEE4"/>
    <w:lvl w:ilvl="0" w:tplc="2060888E">
      <w:start w:val="1"/>
      <w:numFmt w:val="lowerRoman"/>
      <w:lvlText w:val="%1."/>
      <w:lvlJc w:val="left"/>
      <w:pPr>
        <w:ind w:left="3024" w:hanging="72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52">
    <w:nsid w:val="76CB13C2"/>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937BFD"/>
    <w:multiLevelType w:val="hybridMultilevel"/>
    <w:tmpl w:val="C166DB96"/>
    <w:lvl w:ilvl="0" w:tplc="C660D7EC">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5E504F"/>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F314A4"/>
    <w:multiLevelType w:val="hybridMultilevel"/>
    <w:tmpl w:val="EEBA1390"/>
    <w:lvl w:ilvl="0" w:tplc="D9646ECC">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28"/>
  </w:num>
  <w:num w:numId="5">
    <w:abstractNumId w:val="28"/>
    <w:lvlOverride w:ilvl="0">
      <w:startOverride w:val="1"/>
    </w:lvlOverride>
    <w:lvlOverride w:ilvl="1">
      <w:startOverride w:val="1"/>
    </w:lvlOverride>
    <w:lvlOverride w:ilvl="2">
      <w:startOverride w:val="22"/>
    </w:lvlOverride>
  </w:num>
  <w:num w:numId="6">
    <w:abstractNumId w:val="28"/>
    <w:lvlOverride w:ilvl="0">
      <w:startOverride w:val="1"/>
    </w:lvlOverride>
    <w:lvlOverride w:ilvl="1">
      <w:startOverride w:val="1"/>
    </w:lvlOverride>
    <w:lvlOverride w:ilvl="2">
      <w:startOverride w:val="1"/>
    </w:lvlOverride>
    <w:lvlOverride w:ilvl="3">
      <w:startOverride w:val="6"/>
    </w:lvlOverride>
  </w:num>
  <w:num w:numId="7">
    <w:abstractNumId w:val="29"/>
  </w:num>
  <w:num w:numId="8">
    <w:abstractNumId w:val="28"/>
  </w:num>
  <w:num w:numId="9">
    <w:abstractNumId w:val="28"/>
  </w:num>
  <w:num w:numId="10">
    <w:abstractNumId w:val="28"/>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8"/>
  </w:num>
  <w:num w:numId="20">
    <w:abstractNumId w:val="28"/>
  </w:num>
  <w:num w:numId="21">
    <w:abstractNumId w:val="28"/>
  </w:num>
  <w:num w:numId="22">
    <w:abstractNumId w:val="40"/>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40"/>
  </w:num>
  <w:num w:numId="26">
    <w:abstractNumId w:val="35"/>
  </w:num>
  <w:num w:numId="27">
    <w:abstractNumId w:val="40"/>
  </w:num>
  <w:num w:numId="28">
    <w:abstractNumId w:val="2"/>
  </w:num>
  <w:num w:numId="29">
    <w:abstractNumId w:val="40"/>
  </w:num>
  <w:num w:numId="30">
    <w:abstractNumId w:val="40"/>
  </w:num>
  <w:num w:numId="31">
    <w:abstractNumId w:val="40"/>
  </w:num>
  <w:num w:numId="32">
    <w:abstractNumId w:val="40"/>
  </w:num>
  <w:num w:numId="33">
    <w:abstractNumId w:val="40"/>
  </w:num>
  <w:num w:numId="34">
    <w:abstractNumId w:val="40"/>
  </w:num>
  <w:num w:numId="35">
    <w:abstractNumId w:val="40"/>
  </w:num>
  <w:num w:numId="36">
    <w:abstractNumId w:val="40"/>
  </w:num>
  <w:num w:numId="37">
    <w:abstractNumId w:val="40"/>
  </w:num>
  <w:num w:numId="38">
    <w:abstractNumId w:val="40"/>
  </w:num>
  <w:num w:numId="39">
    <w:abstractNumId w:val="40"/>
  </w:num>
  <w:num w:numId="40">
    <w:abstractNumId w:val="40"/>
  </w:num>
  <w:num w:numId="41">
    <w:abstractNumId w:val="23"/>
  </w:num>
  <w:num w:numId="42">
    <w:abstractNumId w:val="40"/>
  </w:num>
  <w:num w:numId="43">
    <w:abstractNumId w:val="4"/>
  </w:num>
  <w:num w:numId="44">
    <w:abstractNumId w:val="40"/>
  </w:num>
  <w:num w:numId="45">
    <w:abstractNumId w:val="40"/>
  </w:num>
  <w:num w:numId="46">
    <w:abstractNumId w:val="40"/>
  </w:num>
  <w:num w:numId="47">
    <w:abstractNumId w:val="40"/>
  </w:num>
  <w:num w:numId="48">
    <w:abstractNumId w:val="40"/>
  </w:num>
  <w:num w:numId="49">
    <w:abstractNumId w:val="40"/>
  </w:num>
  <w:num w:numId="50">
    <w:abstractNumId w:val="21"/>
  </w:num>
  <w:num w:numId="51">
    <w:abstractNumId w:val="16"/>
  </w:num>
  <w:num w:numId="52">
    <w:abstractNumId w:val="18"/>
  </w:num>
  <w:num w:numId="53">
    <w:abstractNumId w:val="50"/>
  </w:num>
  <w:num w:numId="54">
    <w:abstractNumId w:val="14"/>
  </w:num>
  <w:num w:numId="55">
    <w:abstractNumId w:val="40"/>
  </w:num>
  <w:num w:numId="56">
    <w:abstractNumId w:val="40"/>
  </w:num>
  <w:num w:numId="57">
    <w:abstractNumId w:val="44"/>
  </w:num>
  <w:num w:numId="58">
    <w:abstractNumId w:val="36"/>
  </w:num>
  <w:num w:numId="59">
    <w:abstractNumId w:val="40"/>
  </w:num>
  <w:num w:numId="60">
    <w:abstractNumId w:val="49"/>
  </w:num>
  <w:num w:numId="61">
    <w:abstractNumId w:val="20"/>
  </w:num>
  <w:num w:numId="62">
    <w:abstractNumId w:val="39"/>
  </w:num>
  <w:num w:numId="63">
    <w:abstractNumId w:val="7"/>
  </w:num>
  <w:num w:numId="64">
    <w:abstractNumId w:val="53"/>
  </w:num>
  <w:num w:numId="65">
    <w:abstractNumId w:val="25"/>
  </w:num>
  <w:num w:numId="66">
    <w:abstractNumId w:val="50"/>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num>
  <w:num w:numId="72">
    <w:abstractNumId w:val="48"/>
  </w:num>
  <w:num w:numId="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74">
    <w:abstractNumId w:val="51"/>
  </w:num>
  <w:num w:numId="75">
    <w:abstractNumId w:val="55"/>
  </w:num>
  <w:num w:numId="76">
    <w:abstractNumId w:val="12"/>
  </w:num>
  <w:num w:numId="77">
    <w:abstractNumId w:val="52"/>
  </w:num>
  <w:num w:numId="78">
    <w:abstractNumId w:val="54"/>
  </w:num>
  <w:num w:numId="79">
    <w:abstractNumId w:val="43"/>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num>
  <w:num w:numId="82">
    <w:abstractNumId w:val="6"/>
  </w:num>
  <w:num w:numId="83">
    <w:abstractNumId w:val="46"/>
  </w:num>
  <w:num w:numId="84">
    <w:abstractNumId w:val="24"/>
  </w:num>
  <w:num w:numId="85">
    <w:abstractNumId w:val="38"/>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num>
  <w:num w:numId="88">
    <w:abstractNumId w:val="31"/>
  </w:num>
  <w:num w:numId="89">
    <w:abstractNumId w:val="8"/>
  </w:num>
  <w:num w:numId="90">
    <w:abstractNumId w:val="37"/>
  </w:num>
  <w:num w:numId="91">
    <w:abstractNumId w:val="5"/>
  </w:num>
  <w:num w:numId="92">
    <w:abstractNumId w:val="15"/>
  </w:num>
  <w:num w:numId="93">
    <w:abstractNumId w:val="11"/>
  </w:num>
  <w:num w:numId="94">
    <w:abstractNumId w:val="30"/>
  </w:num>
  <w:num w:numId="95">
    <w:abstractNumId w:val="26"/>
  </w:num>
  <w:num w:numId="96">
    <w:abstractNumId w:val="41"/>
  </w:num>
  <w:num w:numId="97">
    <w:abstractNumId w:val="19"/>
  </w:num>
  <w:num w:numId="98">
    <w:abstractNumId w:val="13"/>
  </w:num>
  <w:num w:numId="99">
    <w:abstractNumId w:val="27"/>
  </w:num>
  <w:num w:numId="100">
    <w:abstractNumId w:val="22"/>
  </w:num>
  <w:num w:numId="101">
    <w:abstractNumId w:val="33"/>
  </w:num>
  <w:num w:numId="102">
    <w:abstractNumId w:val="34"/>
  </w:num>
  <w:num w:numId="103">
    <w:abstractNumId w:val="45"/>
  </w:num>
  <w:num w:numId="104">
    <w:abstractNumId w:val="42"/>
  </w:num>
  <w:num w:numId="105">
    <w:abstractNumId w:val="3"/>
  </w:num>
  <w:num w:numId="106">
    <w:abstractNumId w:val="10"/>
  </w:num>
  <w:num w:numId="1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0"/>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linkStyles/>
  <w:stylePaneFormatFilter w:val="1F08"/>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 w:id="1"/>
  </w:endnotePr>
  <w:compat/>
  <w:rsids>
    <w:rsidRoot w:val="003E6A96"/>
    <w:rsid w:val="00094A05"/>
    <w:rsid w:val="000A38FD"/>
    <w:rsid w:val="000E0A9C"/>
    <w:rsid w:val="000F725C"/>
    <w:rsid w:val="001240A8"/>
    <w:rsid w:val="001273A1"/>
    <w:rsid w:val="00146B6B"/>
    <w:rsid w:val="0015504D"/>
    <w:rsid w:val="00166438"/>
    <w:rsid w:val="0017638D"/>
    <w:rsid w:val="00185F94"/>
    <w:rsid w:val="00194737"/>
    <w:rsid w:val="001B0F68"/>
    <w:rsid w:val="001B12FC"/>
    <w:rsid w:val="001E194D"/>
    <w:rsid w:val="001E405B"/>
    <w:rsid w:val="002578AD"/>
    <w:rsid w:val="002A2EDF"/>
    <w:rsid w:val="002E750E"/>
    <w:rsid w:val="002F25E7"/>
    <w:rsid w:val="002F2F5D"/>
    <w:rsid w:val="003021AC"/>
    <w:rsid w:val="00317670"/>
    <w:rsid w:val="0031776E"/>
    <w:rsid w:val="00365B29"/>
    <w:rsid w:val="00370766"/>
    <w:rsid w:val="003E593A"/>
    <w:rsid w:val="003E6A96"/>
    <w:rsid w:val="003F5B95"/>
    <w:rsid w:val="00400616"/>
    <w:rsid w:val="004065F3"/>
    <w:rsid w:val="00406E07"/>
    <w:rsid w:val="004171D0"/>
    <w:rsid w:val="00420885"/>
    <w:rsid w:val="004419C6"/>
    <w:rsid w:val="004427F6"/>
    <w:rsid w:val="00456447"/>
    <w:rsid w:val="00470C89"/>
    <w:rsid w:val="00472565"/>
    <w:rsid w:val="00473096"/>
    <w:rsid w:val="0049550C"/>
    <w:rsid w:val="004B626A"/>
    <w:rsid w:val="004C51A0"/>
    <w:rsid w:val="004F20C3"/>
    <w:rsid w:val="00506462"/>
    <w:rsid w:val="005164CF"/>
    <w:rsid w:val="00524F0D"/>
    <w:rsid w:val="005441B2"/>
    <w:rsid w:val="00554929"/>
    <w:rsid w:val="00572D91"/>
    <w:rsid w:val="005905B4"/>
    <w:rsid w:val="00593742"/>
    <w:rsid w:val="005D183A"/>
    <w:rsid w:val="005D334A"/>
    <w:rsid w:val="005D59E0"/>
    <w:rsid w:val="005E4ADF"/>
    <w:rsid w:val="00613FED"/>
    <w:rsid w:val="006171F8"/>
    <w:rsid w:val="0062263E"/>
    <w:rsid w:val="0065120B"/>
    <w:rsid w:val="006812E1"/>
    <w:rsid w:val="0069329F"/>
    <w:rsid w:val="006D524A"/>
    <w:rsid w:val="007134E2"/>
    <w:rsid w:val="00721B6F"/>
    <w:rsid w:val="00724A4F"/>
    <w:rsid w:val="0073146D"/>
    <w:rsid w:val="00747C78"/>
    <w:rsid w:val="007D4622"/>
    <w:rsid w:val="00820F18"/>
    <w:rsid w:val="00847710"/>
    <w:rsid w:val="00854490"/>
    <w:rsid w:val="008564A0"/>
    <w:rsid w:val="00867A32"/>
    <w:rsid w:val="00867E27"/>
    <w:rsid w:val="00895143"/>
    <w:rsid w:val="008A30B3"/>
    <w:rsid w:val="008C4E7C"/>
    <w:rsid w:val="008C61C5"/>
    <w:rsid w:val="008D6F19"/>
    <w:rsid w:val="008E034A"/>
    <w:rsid w:val="009231A7"/>
    <w:rsid w:val="00927935"/>
    <w:rsid w:val="00937C55"/>
    <w:rsid w:val="00946421"/>
    <w:rsid w:val="00947DAB"/>
    <w:rsid w:val="00966A89"/>
    <w:rsid w:val="00990700"/>
    <w:rsid w:val="00991FA8"/>
    <w:rsid w:val="009A7CAF"/>
    <w:rsid w:val="009D49A0"/>
    <w:rsid w:val="009F3F44"/>
    <w:rsid w:val="00A344E5"/>
    <w:rsid w:val="00A36E44"/>
    <w:rsid w:val="00A377CC"/>
    <w:rsid w:val="00A451CE"/>
    <w:rsid w:val="00A47773"/>
    <w:rsid w:val="00AC0FBC"/>
    <w:rsid w:val="00AD7D31"/>
    <w:rsid w:val="00AF268D"/>
    <w:rsid w:val="00AF7DC9"/>
    <w:rsid w:val="00B01646"/>
    <w:rsid w:val="00B16977"/>
    <w:rsid w:val="00B442F2"/>
    <w:rsid w:val="00B442FF"/>
    <w:rsid w:val="00B6249C"/>
    <w:rsid w:val="00B95998"/>
    <w:rsid w:val="00BB1820"/>
    <w:rsid w:val="00BE7A70"/>
    <w:rsid w:val="00C11EA4"/>
    <w:rsid w:val="00C36152"/>
    <w:rsid w:val="00C64190"/>
    <w:rsid w:val="00C71440"/>
    <w:rsid w:val="00C72C50"/>
    <w:rsid w:val="00C800DD"/>
    <w:rsid w:val="00C82525"/>
    <w:rsid w:val="00CA4BC4"/>
    <w:rsid w:val="00CC34F7"/>
    <w:rsid w:val="00CC42E0"/>
    <w:rsid w:val="00CF0797"/>
    <w:rsid w:val="00CF0E07"/>
    <w:rsid w:val="00CF5399"/>
    <w:rsid w:val="00CF664E"/>
    <w:rsid w:val="00D242B0"/>
    <w:rsid w:val="00D34EFF"/>
    <w:rsid w:val="00D40AC9"/>
    <w:rsid w:val="00DB20D5"/>
    <w:rsid w:val="00DB2C4A"/>
    <w:rsid w:val="00E03B62"/>
    <w:rsid w:val="00E11436"/>
    <w:rsid w:val="00E32681"/>
    <w:rsid w:val="00E518A0"/>
    <w:rsid w:val="00E85CB2"/>
    <w:rsid w:val="00E96A5B"/>
    <w:rsid w:val="00EA1AA2"/>
    <w:rsid w:val="00EA63C2"/>
    <w:rsid w:val="00EF548A"/>
    <w:rsid w:val="00EF6508"/>
    <w:rsid w:val="00F02E8E"/>
    <w:rsid w:val="00F52838"/>
    <w:rsid w:val="00FB1280"/>
    <w:rsid w:val="00FE559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uiPriority="1" w:qFormat="1"/>
    <w:lsdException w:name="heading 9" w:qFormat="1"/>
    <w:lsdException w:name="header" w:uiPriority="1"/>
    <w:lsdException w:name="footer" w:uiPriority="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utoRedefine/>
    <w:uiPriority w:val="1"/>
    <w:qFormat/>
    <w:rsid w:val="004F3DDD"/>
    <w:pPr>
      <w:widowControl w:val="0"/>
      <w:autoSpaceDE w:val="0"/>
      <w:autoSpaceDN w:val="0"/>
      <w:adjustRightInd w:val="0"/>
    </w:pPr>
    <w:rPr>
      <w:rFonts w:ascii="Arial" w:hAnsi="Arial" w:cs="Arial"/>
    </w:rPr>
  </w:style>
  <w:style w:type="paragraph" w:styleId="Titre1">
    <w:name w:val="heading 1"/>
    <w:basedOn w:val="Normal"/>
    <w:next w:val="Normal"/>
    <w:uiPriority w:val="1"/>
    <w:qFormat/>
    <w:rsid w:val="00C07E4B"/>
    <w:pPr>
      <w:numPr>
        <w:numId w:val="1"/>
      </w:numPr>
      <w:outlineLvl w:val="0"/>
    </w:pPr>
  </w:style>
  <w:style w:type="paragraph" w:styleId="Titre2">
    <w:name w:val="heading 2"/>
    <w:basedOn w:val="Normal"/>
    <w:next w:val="Normal"/>
    <w:uiPriority w:val="1"/>
    <w:qFormat/>
    <w:rsid w:val="00C07E4B"/>
    <w:pPr>
      <w:numPr>
        <w:ilvl w:val="1"/>
        <w:numId w:val="1"/>
      </w:numPr>
      <w:outlineLvl w:val="1"/>
    </w:pPr>
  </w:style>
  <w:style w:type="paragraph" w:styleId="Titre3">
    <w:name w:val="heading 3"/>
    <w:basedOn w:val="Normal"/>
    <w:next w:val="Normal"/>
    <w:uiPriority w:val="1"/>
    <w:qFormat/>
    <w:rsid w:val="00C07E4B"/>
    <w:pPr>
      <w:numPr>
        <w:ilvl w:val="2"/>
        <w:numId w:val="1"/>
      </w:numPr>
      <w:outlineLvl w:val="2"/>
    </w:pPr>
  </w:style>
  <w:style w:type="paragraph" w:styleId="Titre4">
    <w:name w:val="heading 4"/>
    <w:basedOn w:val="Normal"/>
    <w:next w:val="Normal"/>
    <w:uiPriority w:val="1"/>
    <w:qFormat/>
    <w:rsid w:val="00C07E4B"/>
    <w:pPr>
      <w:numPr>
        <w:ilvl w:val="3"/>
        <w:numId w:val="1"/>
      </w:numPr>
      <w:outlineLvl w:val="3"/>
    </w:pPr>
  </w:style>
  <w:style w:type="paragraph" w:styleId="Titre5">
    <w:name w:val="heading 5"/>
    <w:basedOn w:val="Normal"/>
    <w:next w:val="Normal"/>
    <w:uiPriority w:val="1"/>
    <w:qFormat/>
    <w:rsid w:val="00C07E4B"/>
    <w:pPr>
      <w:numPr>
        <w:ilvl w:val="4"/>
        <w:numId w:val="1"/>
      </w:numPr>
      <w:outlineLvl w:val="4"/>
    </w:pPr>
  </w:style>
  <w:style w:type="paragraph" w:styleId="Titre6">
    <w:name w:val="heading 6"/>
    <w:basedOn w:val="Normal"/>
    <w:next w:val="Normal"/>
    <w:uiPriority w:val="1"/>
    <w:qFormat/>
    <w:rsid w:val="00C07E4B"/>
    <w:pPr>
      <w:numPr>
        <w:ilvl w:val="5"/>
        <w:numId w:val="1"/>
      </w:numPr>
      <w:outlineLvl w:val="5"/>
    </w:pPr>
  </w:style>
  <w:style w:type="paragraph" w:styleId="Titre7">
    <w:name w:val="heading 7"/>
    <w:basedOn w:val="Normal"/>
    <w:next w:val="Normal"/>
    <w:uiPriority w:val="1"/>
    <w:qFormat/>
    <w:rsid w:val="00C07E4B"/>
    <w:pPr>
      <w:numPr>
        <w:ilvl w:val="6"/>
        <w:numId w:val="1"/>
      </w:numPr>
      <w:outlineLvl w:val="6"/>
    </w:pPr>
  </w:style>
  <w:style w:type="paragraph" w:styleId="Titre8">
    <w:name w:val="heading 8"/>
    <w:basedOn w:val="Normal"/>
    <w:next w:val="Normal"/>
    <w:uiPriority w:val="1"/>
    <w:qFormat/>
    <w:rsid w:val="00C07E4B"/>
    <w:pPr>
      <w:numPr>
        <w:ilvl w:val="7"/>
        <w:numId w:val="1"/>
      </w:numPr>
      <w:outlineLvl w:val="7"/>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CATTitleOfSection">
    <w:name w:val="ARCAT TitleOfSection"/>
    <w:basedOn w:val="Normal"/>
    <w:next w:val="ARCATBlank"/>
    <w:autoRedefine/>
    <w:rsid w:val="00C07E4B"/>
    <w:pPr>
      <w:widowControl/>
      <w:tabs>
        <w:tab w:val="center" w:pos="4320"/>
      </w:tabs>
      <w:suppressAutoHyphens/>
      <w:jc w:val="center"/>
    </w:pPr>
  </w:style>
  <w:style w:type="paragraph" w:customStyle="1" w:styleId="ARCATBlank">
    <w:name w:val="ARCAT Blank"/>
    <w:basedOn w:val="Normal"/>
    <w:link w:val="ARCATBlankChar"/>
    <w:autoRedefine/>
    <w:rsid w:val="0017638D"/>
    <w:pPr>
      <w:widowControl/>
      <w:tabs>
        <w:tab w:val="left" w:pos="9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10" w:hanging="540"/>
    </w:pPr>
    <w:rPr>
      <w:rFonts w:cs="Times New Roman"/>
    </w:rPr>
  </w:style>
  <w:style w:type="paragraph" w:customStyle="1" w:styleId="ARCATEndOfSection">
    <w:name w:val="ARCAT EndOfSection"/>
    <w:basedOn w:val="ARCATTitleOfSection"/>
    <w:next w:val="Normal"/>
    <w:autoRedefine/>
    <w:rsid w:val="00C07E4B"/>
    <w:pPr>
      <w:jc w:val="left"/>
    </w:pPr>
  </w:style>
  <w:style w:type="paragraph" w:customStyle="1" w:styleId="ARCATPart">
    <w:name w:val="ARCAT Part"/>
    <w:basedOn w:val="ARCATBlank"/>
    <w:next w:val="ARCATBlank"/>
    <w:link w:val="ARCATPartChar"/>
    <w:autoRedefine/>
    <w:rsid w:val="00C07E4B"/>
    <w:pPr>
      <w:numPr>
        <w:numId w:val="22"/>
      </w:numPr>
    </w:pPr>
  </w:style>
  <w:style w:type="paragraph" w:customStyle="1" w:styleId="ARCATArticle">
    <w:name w:val="ARCAT Article"/>
    <w:basedOn w:val="ARCATPart"/>
    <w:next w:val="ARCATBlank"/>
    <w:autoRedefine/>
    <w:rsid w:val="00C07E4B"/>
    <w:pPr>
      <w:numPr>
        <w:ilvl w:val="1"/>
      </w:numPr>
      <w:tabs>
        <w:tab w:val="clear" w:pos="576"/>
        <w:tab w:val="left" w:pos="234"/>
      </w:tabs>
    </w:pPr>
  </w:style>
  <w:style w:type="paragraph" w:customStyle="1" w:styleId="ARCATParagraph">
    <w:name w:val="ARCAT Paragraph"/>
    <w:basedOn w:val="ARCATArticle"/>
    <w:next w:val="ARCATBlank"/>
    <w:link w:val="ARCATParagraphChar1"/>
    <w:autoRedefine/>
    <w:rsid w:val="00EF6508"/>
    <w:pPr>
      <w:numPr>
        <w:ilvl w:val="2"/>
      </w:numPr>
      <w:tabs>
        <w:tab w:val="clear" w:pos="1152"/>
        <w:tab w:val="left" w:pos="576"/>
      </w:tabs>
    </w:pPr>
    <w:rPr>
      <w:bCs/>
    </w:rPr>
  </w:style>
  <w:style w:type="paragraph" w:customStyle="1" w:styleId="ARCATSubPara">
    <w:name w:val="ARCAT SubPara"/>
    <w:basedOn w:val="ARCATParagraph"/>
    <w:next w:val="ARCATBlank"/>
    <w:autoRedefine/>
    <w:rsid w:val="00937C55"/>
    <w:pPr>
      <w:numPr>
        <w:ilvl w:val="3"/>
      </w:numPr>
      <w:tabs>
        <w:tab w:val="clear" w:pos="1728"/>
        <w:tab w:val="clear" w:pos="2016"/>
      </w:tabs>
      <w:ind w:left="1728"/>
    </w:pPr>
  </w:style>
  <w:style w:type="paragraph" w:customStyle="1" w:styleId="ARCATSubSub1">
    <w:name w:val="ARCAT SubSub1"/>
    <w:basedOn w:val="ARCATSubPara"/>
    <w:next w:val="ARCATBlank"/>
    <w:autoRedefine/>
    <w:rsid w:val="00572D91"/>
    <w:pPr>
      <w:numPr>
        <w:ilvl w:val="4"/>
      </w:numPr>
      <w:tabs>
        <w:tab w:val="clear" w:pos="2304"/>
      </w:tabs>
    </w:pPr>
  </w:style>
  <w:style w:type="paragraph" w:customStyle="1" w:styleId="ARCATSubSub2">
    <w:name w:val="ARCAT SubSub2"/>
    <w:basedOn w:val="ARCATSubSub1"/>
    <w:autoRedefine/>
    <w:rsid w:val="00C07E4B"/>
    <w:pPr>
      <w:numPr>
        <w:ilvl w:val="5"/>
      </w:numPr>
      <w:tabs>
        <w:tab w:val="clear" w:pos="2880"/>
      </w:tabs>
    </w:pPr>
  </w:style>
  <w:style w:type="paragraph" w:customStyle="1" w:styleId="ARCATSubSub3">
    <w:name w:val="ARCAT SubSub3"/>
    <w:basedOn w:val="ARCATSubSub2"/>
    <w:autoRedefine/>
    <w:rsid w:val="00C07E4B"/>
    <w:pPr>
      <w:numPr>
        <w:ilvl w:val="6"/>
      </w:numPr>
      <w:tabs>
        <w:tab w:val="clear" w:pos="3456"/>
      </w:tabs>
    </w:pPr>
  </w:style>
  <w:style w:type="paragraph" w:customStyle="1" w:styleId="ARCATSubSub4">
    <w:name w:val="ARCAT SubSub4"/>
    <w:basedOn w:val="ARCATSubSub3"/>
    <w:autoRedefine/>
    <w:rsid w:val="00C07E4B"/>
    <w:pPr>
      <w:numPr>
        <w:ilvl w:val="7"/>
      </w:numPr>
      <w:tabs>
        <w:tab w:val="clear" w:pos="4032"/>
      </w:tabs>
    </w:pPr>
  </w:style>
  <w:style w:type="paragraph" w:customStyle="1" w:styleId="ARCATSubSub5">
    <w:name w:val="ARCAT SubSub5"/>
    <w:basedOn w:val="ARCATSubSub4"/>
    <w:autoRedefine/>
    <w:rsid w:val="00C07E4B"/>
    <w:pPr>
      <w:numPr>
        <w:ilvl w:val="8"/>
      </w:numPr>
      <w:tabs>
        <w:tab w:val="clear" w:pos="4608"/>
      </w:tabs>
    </w:pPr>
  </w:style>
  <w:style w:type="paragraph" w:customStyle="1" w:styleId="ARCATNote">
    <w:name w:val="ARCAT Note"/>
    <w:basedOn w:val="Normal"/>
    <w:autoRedefine/>
    <w:rsid w:val="009279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En-tte">
    <w:name w:val="header"/>
    <w:basedOn w:val="Normal"/>
    <w:uiPriority w:val="1"/>
    <w:rsid w:val="00C07E4B"/>
    <w:pPr>
      <w:tabs>
        <w:tab w:val="center" w:pos="4320"/>
        <w:tab w:val="right" w:pos="8640"/>
      </w:tabs>
    </w:pPr>
  </w:style>
  <w:style w:type="paragraph" w:styleId="Pieddepage">
    <w:name w:val="footer"/>
    <w:basedOn w:val="Normal"/>
    <w:uiPriority w:val="1"/>
    <w:rsid w:val="00C07E4B"/>
    <w:pPr>
      <w:tabs>
        <w:tab w:val="center" w:pos="4320"/>
        <w:tab w:val="right" w:pos="8640"/>
      </w:tabs>
    </w:pPr>
  </w:style>
  <w:style w:type="paragraph" w:customStyle="1" w:styleId="PRT">
    <w:name w:val="PRT"/>
    <w:basedOn w:val="Normal"/>
    <w:next w:val="ART"/>
    <w:rsid w:val="00B61CF0"/>
    <w:pPr>
      <w:keepNext/>
      <w:widowControl/>
      <w:numPr>
        <w:numId w:val="2"/>
      </w:numPr>
      <w:suppressAutoHyphens/>
      <w:autoSpaceDE/>
      <w:autoSpaceDN/>
      <w:adjustRightInd/>
      <w:spacing w:before="480"/>
      <w:jc w:val="both"/>
      <w:outlineLvl w:val="0"/>
    </w:pPr>
    <w:rPr>
      <w:rFonts w:ascii="Times New Roman" w:hAnsi="Times New Roman" w:cs="Times New Roman"/>
      <w:sz w:val="22"/>
    </w:rPr>
  </w:style>
  <w:style w:type="paragraph" w:customStyle="1" w:styleId="SUT">
    <w:name w:val="SUT"/>
    <w:basedOn w:val="Normal"/>
    <w:next w:val="PR1"/>
    <w:rsid w:val="00B61CF0"/>
    <w:pPr>
      <w:widowControl/>
      <w:numPr>
        <w:ilvl w:val="1"/>
        <w:numId w:val="2"/>
      </w:numPr>
      <w:suppressAutoHyphens/>
      <w:autoSpaceDE/>
      <w:autoSpaceDN/>
      <w:adjustRightInd/>
      <w:spacing w:before="240"/>
      <w:jc w:val="both"/>
      <w:outlineLvl w:val="0"/>
    </w:pPr>
    <w:rPr>
      <w:rFonts w:ascii="Times New Roman" w:hAnsi="Times New Roman" w:cs="Times New Roman"/>
      <w:sz w:val="22"/>
    </w:rPr>
  </w:style>
  <w:style w:type="paragraph" w:customStyle="1" w:styleId="DST">
    <w:name w:val="DST"/>
    <w:basedOn w:val="Normal"/>
    <w:next w:val="PR1"/>
    <w:rsid w:val="00B61CF0"/>
    <w:pPr>
      <w:widowControl/>
      <w:numPr>
        <w:ilvl w:val="2"/>
        <w:numId w:val="2"/>
      </w:numPr>
      <w:suppressAutoHyphens/>
      <w:autoSpaceDE/>
      <w:autoSpaceDN/>
      <w:adjustRightInd/>
      <w:spacing w:before="240"/>
      <w:jc w:val="both"/>
      <w:outlineLvl w:val="0"/>
    </w:pPr>
    <w:rPr>
      <w:rFonts w:ascii="Times New Roman" w:hAnsi="Times New Roman" w:cs="Times New Roman"/>
      <w:sz w:val="22"/>
    </w:rPr>
  </w:style>
  <w:style w:type="paragraph" w:customStyle="1" w:styleId="ART">
    <w:name w:val="ART"/>
    <w:basedOn w:val="Normal"/>
    <w:next w:val="PR1"/>
    <w:rsid w:val="00B61CF0"/>
    <w:pPr>
      <w:keepNext/>
      <w:widowControl/>
      <w:numPr>
        <w:ilvl w:val="3"/>
        <w:numId w:val="2"/>
      </w:numPr>
      <w:suppressAutoHyphens/>
      <w:autoSpaceDE/>
      <w:autoSpaceDN/>
      <w:adjustRightInd/>
      <w:spacing w:before="480"/>
      <w:jc w:val="both"/>
      <w:outlineLvl w:val="1"/>
    </w:pPr>
    <w:rPr>
      <w:rFonts w:ascii="Times New Roman" w:hAnsi="Times New Roman" w:cs="Times New Roman"/>
      <w:sz w:val="22"/>
    </w:rPr>
  </w:style>
  <w:style w:type="paragraph" w:customStyle="1" w:styleId="PR1">
    <w:name w:val="PR1"/>
    <w:basedOn w:val="Normal"/>
    <w:rsid w:val="00B61CF0"/>
    <w:pPr>
      <w:widowControl/>
      <w:numPr>
        <w:ilvl w:val="4"/>
        <w:numId w:val="2"/>
      </w:numPr>
      <w:suppressAutoHyphens/>
      <w:autoSpaceDE/>
      <w:autoSpaceDN/>
      <w:adjustRightInd/>
      <w:spacing w:before="240"/>
      <w:jc w:val="both"/>
      <w:outlineLvl w:val="2"/>
    </w:pPr>
    <w:rPr>
      <w:rFonts w:ascii="Times New Roman" w:hAnsi="Times New Roman" w:cs="Times New Roman"/>
      <w:sz w:val="22"/>
    </w:rPr>
  </w:style>
  <w:style w:type="paragraph" w:customStyle="1" w:styleId="PR2">
    <w:name w:val="PR2"/>
    <w:basedOn w:val="Normal"/>
    <w:rsid w:val="00B61CF0"/>
    <w:pPr>
      <w:widowControl/>
      <w:numPr>
        <w:ilvl w:val="5"/>
        <w:numId w:val="2"/>
      </w:numPr>
      <w:suppressAutoHyphens/>
      <w:autoSpaceDE/>
      <w:autoSpaceDN/>
      <w:adjustRightInd/>
      <w:jc w:val="both"/>
      <w:outlineLvl w:val="3"/>
    </w:pPr>
    <w:rPr>
      <w:rFonts w:ascii="Times New Roman" w:hAnsi="Times New Roman" w:cs="Times New Roman"/>
      <w:sz w:val="22"/>
    </w:rPr>
  </w:style>
  <w:style w:type="paragraph" w:customStyle="1" w:styleId="PR3">
    <w:name w:val="PR3"/>
    <w:basedOn w:val="Normal"/>
    <w:rsid w:val="00B61CF0"/>
    <w:pPr>
      <w:widowControl/>
      <w:numPr>
        <w:ilvl w:val="6"/>
        <w:numId w:val="2"/>
      </w:numPr>
      <w:suppressAutoHyphens/>
      <w:autoSpaceDE/>
      <w:autoSpaceDN/>
      <w:adjustRightInd/>
      <w:jc w:val="both"/>
      <w:outlineLvl w:val="4"/>
    </w:pPr>
    <w:rPr>
      <w:rFonts w:ascii="Times New Roman" w:hAnsi="Times New Roman" w:cs="Times New Roman"/>
      <w:sz w:val="22"/>
    </w:rPr>
  </w:style>
  <w:style w:type="paragraph" w:customStyle="1" w:styleId="PR4">
    <w:name w:val="PR4"/>
    <w:basedOn w:val="Normal"/>
    <w:rsid w:val="00B61CF0"/>
    <w:pPr>
      <w:widowControl/>
      <w:numPr>
        <w:ilvl w:val="7"/>
        <w:numId w:val="2"/>
      </w:numPr>
      <w:suppressAutoHyphens/>
      <w:autoSpaceDE/>
      <w:autoSpaceDN/>
      <w:adjustRightInd/>
      <w:jc w:val="both"/>
      <w:outlineLvl w:val="5"/>
    </w:pPr>
    <w:rPr>
      <w:rFonts w:ascii="Times New Roman" w:hAnsi="Times New Roman" w:cs="Times New Roman"/>
      <w:sz w:val="22"/>
    </w:rPr>
  </w:style>
  <w:style w:type="paragraph" w:customStyle="1" w:styleId="PR5">
    <w:name w:val="PR5"/>
    <w:basedOn w:val="Normal"/>
    <w:rsid w:val="00B61CF0"/>
    <w:pPr>
      <w:widowControl/>
      <w:numPr>
        <w:ilvl w:val="8"/>
        <w:numId w:val="2"/>
      </w:numPr>
      <w:suppressAutoHyphens/>
      <w:autoSpaceDE/>
      <w:autoSpaceDN/>
      <w:adjustRightInd/>
      <w:jc w:val="both"/>
      <w:outlineLvl w:val="6"/>
    </w:pPr>
    <w:rPr>
      <w:rFonts w:ascii="Times New Roman" w:hAnsi="Times New Roman" w:cs="Times New Roman"/>
      <w:sz w:val="22"/>
    </w:rPr>
  </w:style>
  <w:style w:type="paragraph" w:customStyle="1" w:styleId="Part">
    <w:name w:val="Part"/>
    <w:basedOn w:val="Normal"/>
    <w:next w:val="Normal"/>
    <w:autoRedefine/>
    <w:rsid w:val="00BC3BB6"/>
    <w:pPr>
      <w:widowControl/>
      <w:numPr>
        <w:numId w:val="3"/>
      </w:numPr>
      <w:suppressAutoHyphens/>
      <w:autoSpaceDE/>
      <w:autoSpaceDN/>
      <w:adjustRightInd/>
      <w:outlineLvl w:val="0"/>
    </w:pPr>
    <w:rPr>
      <w:rFonts w:cs="Times New Roman"/>
      <w:snapToGrid w:val="0"/>
    </w:rPr>
  </w:style>
  <w:style w:type="paragraph" w:customStyle="1" w:styleId="Article">
    <w:name w:val="Article"/>
    <w:basedOn w:val="Part"/>
    <w:next w:val="Normal"/>
    <w:autoRedefine/>
    <w:rsid w:val="00BC3BB6"/>
    <w:pPr>
      <w:numPr>
        <w:ilvl w:val="1"/>
      </w:numPr>
      <w:outlineLvl w:val="1"/>
    </w:pPr>
  </w:style>
  <w:style w:type="paragraph" w:customStyle="1" w:styleId="Paragraph">
    <w:name w:val="Paragraph"/>
    <w:basedOn w:val="Normal"/>
    <w:next w:val="Normal"/>
    <w:autoRedefine/>
    <w:rsid w:val="00BC3BB6"/>
    <w:pPr>
      <w:widowControl/>
      <w:numPr>
        <w:ilvl w:val="2"/>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rFonts w:cs="Times New Roman"/>
      <w:snapToGrid w:val="0"/>
    </w:rPr>
  </w:style>
  <w:style w:type="paragraph" w:customStyle="1" w:styleId="SubPara">
    <w:name w:val="SubPara"/>
    <w:basedOn w:val="Paragraph"/>
    <w:autoRedefine/>
    <w:rsid w:val="00BC3BB6"/>
    <w:pPr>
      <w:numPr>
        <w:ilvl w:val="3"/>
      </w:numPr>
      <w:tabs>
        <w:tab w:val="left" w:pos="1152"/>
      </w:tabs>
      <w:outlineLvl w:val="3"/>
    </w:pPr>
  </w:style>
  <w:style w:type="paragraph" w:customStyle="1" w:styleId="SubSub1">
    <w:name w:val="SubSub1"/>
    <w:basedOn w:val="Paragraph"/>
    <w:autoRedefine/>
    <w:rsid w:val="00BC3BB6"/>
    <w:pPr>
      <w:numPr>
        <w:ilvl w:val="4"/>
      </w:numPr>
      <w:tabs>
        <w:tab w:val="left" w:pos="1152"/>
      </w:tabs>
      <w:outlineLvl w:val="4"/>
    </w:pPr>
  </w:style>
  <w:style w:type="paragraph" w:customStyle="1" w:styleId="SubSub2">
    <w:name w:val="SubSub2"/>
    <w:basedOn w:val="Paragraph"/>
    <w:autoRedefine/>
    <w:rsid w:val="00BC3BB6"/>
    <w:pPr>
      <w:numPr>
        <w:ilvl w:val="5"/>
      </w:numPr>
      <w:tabs>
        <w:tab w:val="left" w:pos="1152"/>
      </w:tabs>
      <w:outlineLvl w:val="5"/>
    </w:pPr>
  </w:style>
  <w:style w:type="paragraph" w:customStyle="1" w:styleId="SubSub3">
    <w:name w:val="SubSub3"/>
    <w:basedOn w:val="Paragraph"/>
    <w:autoRedefine/>
    <w:rsid w:val="00BC3BB6"/>
    <w:pPr>
      <w:numPr>
        <w:ilvl w:val="6"/>
      </w:numPr>
      <w:tabs>
        <w:tab w:val="left" w:pos="1152"/>
      </w:tabs>
      <w:outlineLvl w:val="6"/>
    </w:pPr>
  </w:style>
  <w:style w:type="paragraph" w:customStyle="1" w:styleId="SubSub4">
    <w:name w:val="SubSub4"/>
    <w:basedOn w:val="Paragraph"/>
    <w:autoRedefine/>
    <w:rsid w:val="00BC3BB6"/>
    <w:pPr>
      <w:numPr>
        <w:ilvl w:val="7"/>
      </w:numPr>
      <w:tabs>
        <w:tab w:val="left" w:pos="1152"/>
      </w:tabs>
      <w:outlineLvl w:val="7"/>
    </w:pPr>
  </w:style>
  <w:style w:type="paragraph" w:customStyle="1" w:styleId="SubSub5">
    <w:name w:val="SubSub5"/>
    <w:basedOn w:val="Paragraph"/>
    <w:autoRedefine/>
    <w:rsid w:val="00BC3BB6"/>
    <w:pPr>
      <w:numPr>
        <w:ilvl w:val="8"/>
      </w:numPr>
      <w:tabs>
        <w:tab w:val="clear" w:pos="4608"/>
        <w:tab w:val="left" w:pos="1152"/>
        <w:tab w:val="num" w:pos="4752"/>
      </w:tabs>
      <w:outlineLvl w:val="8"/>
    </w:pPr>
  </w:style>
  <w:style w:type="paragraph" w:customStyle="1" w:styleId="Note">
    <w:name w:val="Note"/>
    <w:basedOn w:val="Normal"/>
    <w:autoRedefine/>
    <w:rsid w:val="007E7705"/>
    <w:pPr>
      <w:widowControl/>
      <w:suppressAutoHyphens/>
      <w:autoSpaceDE/>
      <w:autoSpaceDN/>
      <w:adjustRightInd/>
    </w:pPr>
    <w:rPr>
      <w:rFonts w:cs="Times New Roman"/>
      <w:snapToGrid w:val="0"/>
      <w:vanish/>
      <w:color w:val="FF00FF"/>
    </w:rPr>
  </w:style>
  <w:style w:type="character" w:customStyle="1" w:styleId="ARCATParagraphChar1">
    <w:name w:val="ARCAT Paragraph Char1"/>
    <w:link w:val="ARCATParagraph"/>
    <w:rsid w:val="00EF6508"/>
    <w:rPr>
      <w:rFonts w:ascii="Arial" w:hAnsi="Arial"/>
      <w:bCs/>
    </w:rPr>
  </w:style>
  <w:style w:type="character" w:customStyle="1" w:styleId="smallgray1">
    <w:name w:val="smallgray1"/>
    <w:rsid w:val="002220ED"/>
    <w:rPr>
      <w:rFonts w:ascii="Verdana" w:hAnsi="Verdana" w:hint="default"/>
      <w:color w:val="000000"/>
      <w:sz w:val="17"/>
      <w:szCs w:val="17"/>
    </w:rPr>
  </w:style>
  <w:style w:type="character" w:customStyle="1" w:styleId="bodymedium">
    <w:name w:val="bodymedium"/>
    <w:basedOn w:val="Policepardfaut"/>
    <w:rsid w:val="003842EB"/>
  </w:style>
  <w:style w:type="character" w:customStyle="1" w:styleId="ARCATBlankChar">
    <w:name w:val="ARCAT Blank Char"/>
    <w:link w:val="ARCATBlank"/>
    <w:rsid w:val="0017638D"/>
    <w:rPr>
      <w:rFonts w:ascii="Arial" w:hAnsi="Arial"/>
    </w:rPr>
  </w:style>
  <w:style w:type="character" w:styleId="Lienhypertexte">
    <w:name w:val="Hyperlink"/>
    <w:rsid w:val="00ED5152"/>
    <w:rPr>
      <w:color w:val="0000FF"/>
      <w:u w:val="single"/>
    </w:rPr>
  </w:style>
  <w:style w:type="character" w:customStyle="1" w:styleId="normal021">
    <w:name w:val="normal021"/>
    <w:rsid w:val="00CC24C0"/>
    <w:rPr>
      <w:rFonts w:ascii="Verdana" w:hAnsi="Verdana" w:hint="default"/>
      <w:sz w:val="17"/>
      <w:szCs w:val="17"/>
    </w:rPr>
  </w:style>
  <w:style w:type="character" w:customStyle="1" w:styleId="ARCATPartChar">
    <w:name w:val="ARCAT Part Char"/>
    <w:basedOn w:val="ARCATBlankChar"/>
    <w:link w:val="ARCATPart"/>
    <w:rsid w:val="00613A93"/>
    <w:rPr>
      <w:rFonts w:ascii="Arial" w:hAnsi="Arial" w:cs="Arial"/>
    </w:rPr>
  </w:style>
  <w:style w:type="paragraph" w:styleId="Corpsdetexte">
    <w:name w:val="Body Text"/>
    <w:basedOn w:val="Normal"/>
    <w:rsid w:val="009E2AC6"/>
    <w:pPr>
      <w:widowControl/>
      <w:autoSpaceDE/>
      <w:autoSpaceDN/>
      <w:adjustRightInd/>
      <w:jc w:val="both"/>
    </w:pPr>
    <w:rPr>
      <w:rFonts w:ascii="Tahoma" w:hAnsi="Tahoma" w:cs="Tahoma"/>
      <w:szCs w:val="24"/>
    </w:rPr>
  </w:style>
  <w:style w:type="character" w:styleId="Marquedecommentaire">
    <w:name w:val="annotation reference"/>
    <w:semiHidden/>
    <w:rsid w:val="00283F6C"/>
    <w:rPr>
      <w:sz w:val="16"/>
      <w:szCs w:val="16"/>
    </w:rPr>
  </w:style>
  <w:style w:type="paragraph" w:styleId="Commentaire">
    <w:name w:val="annotation text"/>
    <w:basedOn w:val="Normal"/>
    <w:semiHidden/>
    <w:rsid w:val="00283F6C"/>
  </w:style>
  <w:style w:type="paragraph" w:styleId="Objetducommentaire">
    <w:name w:val="annotation subject"/>
    <w:basedOn w:val="Commentaire"/>
    <w:next w:val="Commentaire"/>
    <w:semiHidden/>
    <w:rsid w:val="00283F6C"/>
    <w:rPr>
      <w:b/>
      <w:bCs/>
    </w:rPr>
  </w:style>
  <w:style w:type="paragraph" w:styleId="Textedebulles">
    <w:name w:val="Balloon Text"/>
    <w:basedOn w:val="Normal"/>
    <w:semiHidden/>
    <w:rsid w:val="00283F6C"/>
    <w:rPr>
      <w:rFonts w:ascii="Tahoma" w:hAnsi="Tahoma" w:cs="Tahoma"/>
      <w:sz w:val="16"/>
      <w:szCs w:val="16"/>
    </w:rPr>
  </w:style>
  <w:style w:type="paragraph" w:customStyle="1" w:styleId="ARCATNormal">
    <w:name w:val="ARCAT Normal"/>
    <w:rsid w:val="00481889"/>
    <w:pPr>
      <w:widowControl w:val="0"/>
      <w:autoSpaceDE w:val="0"/>
      <w:autoSpaceDN w:val="0"/>
      <w:adjustRightInd w:val="0"/>
    </w:pPr>
    <w:rPr>
      <w:rFonts w:ascii="Arial" w:hAnsi="Arial" w:cs="Arial"/>
      <w:sz w:val="24"/>
      <w:szCs w:val="24"/>
    </w:rPr>
  </w:style>
  <w:style w:type="paragraph" w:styleId="Explorateurdedocuments">
    <w:name w:val="Document Map"/>
    <w:basedOn w:val="Normal"/>
    <w:link w:val="ExplorateurdedocumentsCar"/>
    <w:rsid w:val="003D09CE"/>
    <w:rPr>
      <w:rFonts w:ascii="Lucida Grande" w:hAnsi="Lucida Grande" w:cs="Times New Roman"/>
      <w:sz w:val="24"/>
      <w:szCs w:val="24"/>
    </w:rPr>
  </w:style>
  <w:style w:type="character" w:customStyle="1" w:styleId="ExplorateurdedocumentsCar">
    <w:name w:val="Explorateur de documents Car"/>
    <w:link w:val="Explorateurdedocuments"/>
    <w:rsid w:val="003D09CE"/>
    <w:rPr>
      <w:rFonts w:ascii="Lucida Grande" w:hAnsi="Lucida Grande" w:cs="Arial"/>
      <w:sz w:val="24"/>
      <w:szCs w:val="24"/>
    </w:rPr>
  </w:style>
</w:styles>
</file>

<file path=word/webSettings.xml><?xml version="1.0" encoding="utf-8"?>
<w:webSettings xmlns:r="http://schemas.openxmlformats.org/officeDocument/2006/relationships" xmlns:w="http://schemas.openxmlformats.org/wordprocessingml/2006/main">
  <w:divs>
    <w:div w:id="34741602">
      <w:bodyDiv w:val="1"/>
      <w:marLeft w:val="0"/>
      <w:marRight w:val="0"/>
      <w:marTop w:val="0"/>
      <w:marBottom w:val="0"/>
      <w:divBdr>
        <w:top w:val="none" w:sz="0" w:space="0" w:color="auto"/>
        <w:left w:val="none" w:sz="0" w:space="0" w:color="auto"/>
        <w:bottom w:val="none" w:sz="0" w:space="0" w:color="auto"/>
        <w:right w:val="none" w:sz="0" w:space="0" w:color="auto"/>
      </w:divBdr>
    </w:div>
    <w:div w:id="39597971">
      <w:bodyDiv w:val="1"/>
      <w:marLeft w:val="0"/>
      <w:marRight w:val="0"/>
      <w:marTop w:val="0"/>
      <w:marBottom w:val="0"/>
      <w:divBdr>
        <w:top w:val="none" w:sz="0" w:space="0" w:color="auto"/>
        <w:left w:val="none" w:sz="0" w:space="0" w:color="auto"/>
        <w:bottom w:val="none" w:sz="0" w:space="0" w:color="auto"/>
        <w:right w:val="none" w:sz="0" w:space="0" w:color="auto"/>
      </w:divBdr>
    </w:div>
    <w:div w:id="49236308">
      <w:bodyDiv w:val="1"/>
      <w:marLeft w:val="0"/>
      <w:marRight w:val="0"/>
      <w:marTop w:val="0"/>
      <w:marBottom w:val="0"/>
      <w:divBdr>
        <w:top w:val="none" w:sz="0" w:space="0" w:color="auto"/>
        <w:left w:val="none" w:sz="0" w:space="0" w:color="auto"/>
        <w:bottom w:val="none" w:sz="0" w:space="0" w:color="auto"/>
        <w:right w:val="none" w:sz="0" w:space="0" w:color="auto"/>
      </w:divBdr>
    </w:div>
    <w:div w:id="53045940">
      <w:bodyDiv w:val="1"/>
      <w:marLeft w:val="0"/>
      <w:marRight w:val="0"/>
      <w:marTop w:val="0"/>
      <w:marBottom w:val="0"/>
      <w:divBdr>
        <w:top w:val="none" w:sz="0" w:space="0" w:color="auto"/>
        <w:left w:val="none" w:sz="0" w:space="0" w:color="auto"/>
        <w:bottom w:val="none" w:sz="0" w:space="0" w:color="auto"/>
        <w:right w:val="none" w:sz="0" w:space="0" w:color="auto"/>
      </w:divBdr>
    </w:div>
    <w:div w:id="58750310">
      <w:bodyDiv w:val="1"/>
      <w:marLeft w:val="0"/>
      <w:marRight w:val="0"/>
      <w:marTop w:val="0"/>
      <w:marBottom w:val="0"/>
      <w:divBdr>
        <w:top w:val="none" w:sz="0" w:space="0" w:color="auto"/>
        <w:left w:val="none" w:sz="0" w:space="0" w:color="auto"/>
        <w:bottom w:val="none" w:sz="0" w:space="0" w:color="auto"/>
        <w:right w:val="none" w:sz="0" w:space="0" w:color="auto"/>
      </w:divBdr>
    </w:div>
    <w:div w:id="79714419">
      <w:bodyDiv w:val="1"/>
      <w:marLeft w:val="0"/>
      <w:marRight w:val="0"/>
      <w:marTop w:val="0"/>
      <w:marBottom w:val="0"/>
      <w:divBdr>
        <w:top w:val="none" w:sz="0" w:space="0" w:color="auto"/>
        <w:left w:val="none" w:sz="0" w:space="0" w:color="auto"/>
        <w:bottom w:val="none" w:sz="0" w:space="0" w:color="auto"/>
        <w:right w:val="none" w:sz="0" w:space="0" w:color="auto"/>
      </w:divBdr>
    </w:div>
    <w:div w:id="82921419">
      <w:bodyDiv w:val="1"/>
      <w:marLeft w:val="0"/>
      <w:marRight w:val="0"/>
      <w:marTop w:val="0"/>
      <w:marBottom w:val="0"/>
      <w:divBdr>
        <w:top w:val="none" w:sz="0" w:space="0" w:color="auto"/>
        <w:left w:val="none" w:sz="0" w:space="0" w:color="auto"/>
        <w:bottom w:val="none" w:sz="0" w:space="0" w:color="auto"/>
        <w:right w:val="none" w:sz="0" w:space="0" w:color="auto"/>
      </w:divBdr>
    </w:div>
    <w:div w:id="100421686">
      <w:bodyDiv w:val="1"/>
      <w:marLeft w:val="0"/>
      <w:marRight w:val="0"/>
      <w:marTop w:val="0"/>
      <w:marBottom w:val="0"/>
      <w:divBdr>
        <w:top w:val="none" w:sz="0" w:space="0" w:color="auto"/>
        <w:left w:val="none" w:sz="0" w:space="0" w:color="auto"/>
        <w:bottom w:val="none" w:sz="0" w:space="0" w:color="auto"/>
        <w:right w:val="none" w:sz="0" w:space="0" w:color="auto"/>
      </w:divBdr>
    </w:div>
    <w:div w:id="114981325">
      <w:bodyDiv w:val="1"/>
      <w:marLeft w:val="0"/>
      <w:marRight w:val="0"/>
      <w:marTop w:val="0"/>
      <w:marBottom w:val="0"/>
      <w:divBdr>
        <w:top w:val="none" w:sz="0" w:space="0" w:color="auto"/>
        <w:left w:val="none" w:sz="0" w:space="0" w:color="auto"/>
        <w:bottom w:val="none" w:sz="0" w:space="0" w:color="auto"/>
        <w:right w:val="none" w:sz="0" w:space="0" w:color="auto"/>
      </w:divBdr>
    </w:div>
    <w:div w:id="145900967">
      <w:bodyDiv w:val="1"/>
      <w:marLeft w:val="0"/>
      <w:marRight w:val="0"/>
      <w:marTop w:val="0"/>
      <w:marBottom w:val="0"/>
      <w:divBdr>
        <w:top w:val="none" w:sz="0" w:space="0" w:color="auto"/>
        <w:left w:val="none" w:sz="0" w:space="0" w:color="auto"/>
        <w:bottom w:val="none" w:sz="0" w:space="0" w:color="auto"/>
        <w:right w:val="none" w:sz="0" w:space="0" w:color="auto"/>
      </w:divBdr>
    </w:div>
    <w:div w:id="172889032">
      <w:bodyDiv w:val="1"/>
      <w:marLeft w:val="0"/>
      <w:marRight w:val="0"/>
      <w:marTop w:val="0"/>
      <w:marBottom w:val="0"/>
      <w:divBdr>
        <w:top w:val="none" w:sz="0" w:space="0" w:color="auto"/>
        <w:left w:val="none" w:sz="0" w:space="0" w:color="auto"/>
        <w:bottom w:val="none" w:sz="0" w:space="0" w:color="auto"/>
        <w:right w:val="none" w:sz="0" w:space="0" w:color="auto"/>
      </w:divBdr>
    </w:div>
    <w:div w:id="173765450">
      <w:bodyDiv w:val="1"/>
      <w:marLeft w:val="0"/>
      <w:marRight w:val="0"/>
      <w:marTop w:val="0"/>
      <w:marBottom w:val="0"/>
      <w:divBdr>
        <w:top w:val="none" w:sz="0" w:space="0" w:color="auto"/>
        <w:left w:val="none" w:sz="0" w:space="0" w:color="auto"/>
        <w:bottom w:val="none" w:sz="0" w:space="0" w:color="auto"/>
        <w:right w:val="none" w:sz="0" w:space="0" w:color="auto"/>
      </w:divBdr>
    </w:div>
    <w:div w:id="186259718">
      <w:bodyDiv w:val="1"/>
      <w:marLeft w:val="0"/>
      <w:marRight w:val="0"/>
      <w:marTop w:val="0"/>
      <w:marBottom w:val="0"/>
      <w:divBdr>
        <w:top w:val="none" w:sz="0" w:space="0" w:color="auto"/>
        <w:left w:val="none" w:sz="0" w:space="0" w:color="auto"/>
        <w:bottom w:val="none" w:sz="0" w:space="0" w:color="auto"/>
        <w:right w:val="none" w:sz="0" w:space="0" w:color="auto"/>
      </w:divBdr>
    </w:div>
    <w:div w:id="188764962">
      <w:bodyDiv w:val="1"/>
      <w:marLeft w:val="0"/>
      <w:marRight w:val="0"/>
      <w:marTop w:val="0"/>
      <w:marBottom w:val="0"/>
      <w:divBdr>
        <w:top w:val="none" w:sz="0" w:space="0" w:color="auto"/>
        <w:left w:val="none" w:sz="0" w:space="0" w:color="auto"/>
        <w:bottom w:val="none" w:sz="0" w:space="0" w:color="auto"/>
        <w:right w:val="none" w:sz="0" w:space="0" w:color="auto"/>
      </w:divBdr>
    </w:div>
    <w:div w:id="193349472">
      <w:bodyDiv w:val="1"/>
      <w:marLeft w:val="0"/>
      <w:marRight w:val="0"/>
      <w:marTop w:val="0"/>
      <w:marBottom w:val="0"/>
      <w:divBdr>
        <w:top w:val="none" w:sz="0" w:space="0" w:color="auto"/>
        <w:left w:val="none" w:sz="0" w:space="0" w:color="auto"/>
        <w:bottom w:val="none" w:sz="0" w:space="0" w:color="auto"/>
        <w:right w:val="none" w:sz="0" w:space="0" w:color="auto"/>
      </w:divBdr>
    </w:div>
    <w:div w:id="196084133">
      <w:bodyDiv w:val="1"/>
      <w:marLeft w:val="0"/>
      <w:marRight w:val="0"/>
      <w:marTop w:val="0"/>
      <w:marBottom w:val="0"/>
      <w:divBdr>
        <w:top w:val="none" w:sz="0" w:space="0" w:color="auto"/>
        <w:left w:val="none" w:sz="0" w:space="0" w:color="auto"/>
        <w:bottom w:val="none" w:sz="0" w:space="0" w:color="auto"/>
        <w:right w:val="none" w:sz="0" w:space="0" w:color="auto"/>
      </w:divBdr>
    </w:div>
    <w:div w:id="199589227">
      <w:bodyDiv w:val="1"/>
      <w:marLeft w:val="0"/>
      <w:marRight w:val="0"/>
      <w:marTop w:val="0"/>
      <w:marBottom w:val="0"/>
      <w:divBdr>
        <w:top w:val="none" w:sz="0" w:space="0" w:color="auto"/>
        <w:left w:val="none" w:sz="0" w:space="0" w:color="auto"/>
        <w:bottom w:val="none" w:sz="0" w:space="0" w:color="auto"/>
        <w:right w:val="none" w:sz="0" w:space="0" w:color="auto"/>
      </w:divBdr>
    </w:div>
    <w:div w:id="204372844">
      <w:bodyDiv w:val="1"/>
      <w:marLeft w:val="0"/>
      <w:marRight w:val="0"/>
      <w:marTop w:val="0"/>
      <w:marBottom w:val="0"/>
      <w:divBdr>
        <w:top w:val="none" w:sz="0" w:space="0" w:color="auto"/>
        <w:left w:val="none" w:sz="0" w:space="0" w:color="auto"/>
        <w:bottom w:val="none" w:sz="0" w:space="0" w:color="auto"/>
        <w:right w:val="none" w:sz="0" w:space="0" w:color="auto"/>
      </w:divBdr>
    </w:div>
    <w:div w:id="217086389">
      <w:bodyDiv w:val="1"/>
      <w:marLeft w:val="0"/>
      <w:marRight w:val="0"/>
      <w:marTop w:val="0"/>
      <w:marBottom w:val="0"/>
      <w:divBdr>
        <w:top w:val="none" w:sz="0" w:space="0" w:color="auto"/>
        <w:left w:val="none" w:sz="0" w:space="0" w:color="auto"/>
        <w:bottom w:val="none" w:sz="0" w:space="0" w:color="auto"/>
        <w:right w:val="none" w:sz="0" w:space="0" w:color="auto"/>
      </w:divBdr>
    </w:div>
    <w:div w:id="225460722">
      <w:bodyDiv w:val="1"/>
      <w:marLeft w:val="0"/>
      <w:marRight w:val="0"/>
      <w:marTop w:val="0"/>
      <w:marBottom w:val="0"/>
      <w:divBdr>
        <w:top w:val="none" w:sz="0" w:space="0" w:color="auto"/>
        <w:left w:val="none" w:sz="0" w:space="0" w:color="auto"/>
        <w:bottom w:val="none" w:sz="0" w:space="0" w:color="auto"/>
        <w:right w:val="none" w:sz="0" w:space="0" w:color="auto"/>
      </w:divBdr>
    </w:div>
    <w:div w:id="225999088">
      <w:bodyDiv w:val="1"/>
      <w:marLeft w:val="0"/>
      <w:marRight w:val="0"/>
      <w:marTop w:val="0"/>
      <w:marBottom w:val="0"/>
      <w:divBdr>
        <w:top w:val="none" w:sz="0" w:space="0" w:color="auto"/>
        <w:left w:val="none" w:sz="0" w:space="0" w:color="auto"/>
        <w:bottom w:val="none" w:sz="0" w:space="0" w:color="auto"/>
        <w:right w:val="none" w:sz="0" w:space="0" w:color="auto"/>
      </w:divBdr>
    </w:div>
    <w:div w:id="241062461">
      <w:bodyDiv w:val="1"/>
      <w:marLeft w:val="0"/>
      <w:marRight w:val="0"/>
      <w:marTop w:val="0"/>
      <w:marBottom w:val="0"/>
      <w:divBdr>
        <w:top w:val="none" w:sz="0" w:space="0" w:color="auto"/>
        <w:left w:val="none" w:sz="0" w:space="0" w:color="auto"/>
        <w:bottom w:val="none" w:sz="0" w:space="0" w:color="auto"/>
        <w:right w:val="none" w:sz="0" w:space="0" w:color="auto"/>
      </w:divBdr>
    </w:div>
    <w:div w:id="243957439">
      <w:bodyDiv w:val="1"/>
      <w:marLeft w:val="0"/>
      <w:marRight w:val="0"/>
      <w:marTop w:val="0"/>
      <w:marBottom w:val="0"/>
      <w:divBdr>
        <w:top w:val="none" w:sz="0" w:space="0" w:color="auto"/>
        <w:left w:val="none" w:sz="0" w:space="0" w:color="auto"/>
        <w:bottom w:val="none" w:sz="0" w:space="0" w:color="auto"/>
        <w:right w:val="none" w:sz="0" w:space="0" w:color="auto"/>
      </w:divBdr>
    </w:div>
    <w:div w:id="250048144">
      <w:bodyDiv w:val="1"/>
      <w:marLeft w:val="0"/>
      <w:marRight w:val="0"/>
      <w:marTop w:val="0"/>
      <w:marBottom w:val="0"/>
      <w:divBdr>
        <w:top w:val="none" w:sz="0" w:space="0" w:color="auto"/>
        <w:left w:val="none" w:sz="0" w:space="0" w:color="auto"/>
        <w:bottom w:val="none" w:sz="0" w:space="0" w:color="auto"/>
        <w:right w:val="none" w:sz="0" w:space="0" w:color="auto"/>
      </w:divBdr>
    </w:div>
    <w:div w:id="260600958">
      <w:bodyDiv w:val="1"/>
      <w:marLeft w:val="0"/>
      <w:marRight w:val="0"/>
      <w:marTop w:val="0"/>
      <w:marBottom w:val="0"/>
      <w:divBdr>
        <w:top w:val="none" w:sz="0" w:space="0" w:color="auto"/>
        <w:left w:val="none" w:sz="0" w:space="0" w:color="auto"/>
        <w:bottom w:val="none" w:sz="0" w:space="0" w:color="auto"/>
        <w:right w:val="none" w:sz="0" w:space="0" w:color="auto"/>
      </w:divBdr>
    </w:div>
    <w:div w:id="268122652">
      <w:bodyDiv w:val="1"/>
      <w:marLeft w:val="0"/>
      <w:marRight w:val="0"/>
      <w:marTop w:val="0"/>
      <w:marBottom w:val="0"/>
      <w:divBdr>
        <w:top w:val="none" w:sz="0" w:space="0" w:color="auto"/>
        <w:left w:val="none" w:sz="0" w:space="0" w:color="auto"/>
        <w:bottom w:val="none" w:sz="0" w:space="0" w:color="auto"/>
        <w:right w:val="none" w:sz="0" w:space="0" w:color="auto"/>
      </w:divBdr>
    </w:div>
    <w:div w:id="269826559">
      <w:bodyDiv w:val="1"/>
      <w:marLeft w:val="0"/>
      <w:marRight w:val="0"/>
      <w:marTop w:val="0"/>
      <w:marBottom w:val="0"/>
      <w:divBdr>
        <w:top w:val="none" w:sz="0" w:space="0" w:color="auto"/>
        <w:left w:val="none" w:sz="0" w:space="0" w:color="auto"/>
        <w:bottom w:val="none" w:sz="0" w:space="0" w:color="auto"/>
        <w:right w:val="none" w:sz="0" w:space="0" w:color="auto"/>
      </w:divBdr>
    </w:div>
    <w:div w:id="278101324">
      <w:bodyDiv w:val="1"/>
      <w:marLeft w:val="0"/>
      <w:marRight w:val="0"/>
      <w:marTop w:val="0"/>
      <w:marBottom w:val="0"/>
      <w:divBdr>
        <w:top w:val="none" w:sz="0" w:space="0" w:color="auto"/>
        <w:left w:val="none" w:sz="0" w:space="0" w:color="auto"/>
        <w:bottom w:val="none" w:sz="0" w:space="0" w:color="auto"/>
        <w:right w:val="none" w:sz="0" w:space="0" w:color="auto"/>
      </w:divBdr>
    </w:div>
    <w:div w:id="280457028">
      <w:bodyDiv w:val="1"/>
      <w:marLeft w:val="0"/>
      <w:marRight w:val="0"/>
      <w:marTop w:val="0"/>
      <w:marBottom w:val="0"/>
      <w:divBdr>
        <w:top w:val="none" w:sz="0" w:space="0" w:color="auto"/>
        <w:left w:val="none" w:sz="0" w:space="0" w:color="auto"/>
        <w:bottom w:val="none" w:sz="0" w:space="0" w:color="auto"/>
        <w:right w:val="none" w:sz="0" w:space="0" w:color="auto"/>
      </w:divBdr>
    </w:div>
    <w:div w:id="282081044">
      <w:bodyDiv w:val="1"/>
      <w:marLeft w:val="0"/>
      <w:marRight w:val="0"/>
      <w:marTop w:val="0"/>
      <w:marBottom w:val="0"/>
      <w:divBdr>
        <w:top w:val="none" w:sz="0" w:space="0" w:color="auto"/>
        <w:left w:val="none" w:sz="0" w:space="0" w:color="auto"/>
        <w:bottom w:val="none" w:sz="0" w:space="0" w:color="auto"/>
        <w:right w:val="none" w:sz="0" w:space="0" w:color="auto"/>
      </w:divBdr>
    </w:div>
    <w:div w:id="309017428">
      <w:bodyDiv w:val="1"/>
      <w:marLeft w:val="0"/>
      <w:marRight w:val="0"/>
      <w:marTop w:val="0"/>
      <w:marBottom w:val="0"/>
      <w:divBdr>
        <w:top w:val="none" w:sz="0" w:space="0" w:color="auto"/>
        <w:left w:val="none" w:sz="0" w:space="0" w:color="auto"/>
        <w:bottom w:val="none" w:sz="0" w:space="0" w:color="auto"/>
        <w:right w:val="none" w:sz="0" w:space="0" w:color="auto"/>
      </w:divBdr>
    </w:div>
    <w:div w:id="320890322">
      <w:bodyDiv w:val="1"/>
      <w:marLeft w:val="0"/>
      <w:marRight w:val="0"/>
      <w:marTop w:val="0"/>
      <w:marBottom w:val="0"/>
      <w:divBdr>
        <w:top w:val="none" w:sz="0" w:space="0" w:color="auto"/>
        <w:left w:val="none" w:sz="0" w:space="0" w:color="auto"/>
        <w:bottom w:val="none" w:sz="0" w:space="0" w:color="auto"/>
        <w:right w:val="none" w:sz="0" w:space="0" w:color="auto"/>
      </w:divBdr>
    </w:div>
    <w:div w:id="321395860">
      <w:bodyDiv w:val="1"/>
      <w:marLeft w:val="0"/>
      <w:marRight w:val="0"/>
      <w:marTop w:val="0"/>
      <w:marBottom w:val="0"/>
      <w:divBdr>
        <w:top w:val="none" w:sz="0" w:space="0" w:color="auto"/>
        <w:left w:val="none" w:sz="0" w:space="0" w:color="auto"/>
        <w:bottom w:val="none" w:sz="0" w:space="0" w:color="auto"/>
        <w:right w:val="none" w:sz="0" w:space="0" w:color="auto"/>
      </w:divBdr>
    </w:div>
    <w:div w:id="331026219">
      <w:bodyDiv w:val="1"/>
      <w:marLeft w:val="0"/>
      <w:marRight w:val="0"/>
      <w:marTop w:val="0"/>
      <w:marBottom w:val="0"/>
      <w:divBdr>
        <w:top w:val="none" w:sz="0" w:space="0" w:color="auto"/>
        <w:left w:val="none" w:sz="0" w:space="0" w:color="auto"/>
        <w:bottom w:val="none" w:sz="0" w:space="0" w:color="auto"/>
        <w:right w:val="none" w:sz="0" w:space="0" w:color="auto"/>
      </w:divBdr>
    </w:div>
    <w:div w:id="370034235">
      <w:bodyDiv w:val="1"/>
      <w:marLeft w:val="0"/>
      <w:marRight w:val="0"/>
      <w:marTop w:val="0"/>
      <w:marBottom w:val="0"/>
      <w:divBdr>
        <w:top w:val="none" w:sz="0" w:space="0" w:color="auto"/>
        <w:left w:val="none" w:sz="0" w:space="0" w:color="auto"/>
        <w:bottom w:val="none" w:sz="0" w:space="0" w:color="auto"/>
        <w:right w:val="none" w:sz="0" w:space="0" w:color="auto"/>
      </w:divBdr>
    </w:div>
    <w:div w:id="377903720">
      <w:bodyDiv w:val="1"/>
      <w:marLeft w:val="0"/>
      <w:marRight w:val="0"/>
      <w:marTop w:val="0"/>
      <w:marBottom w:val="0"/>
      <w:divBdr>
        <w:top w:val="none" w:sz="0" w:space="0" w:color="auto"/>
        <w:left w:val="none" w:sz="0" w:space="0" w:color="auto"/>
        <w:bottom w:val="none" w:sz="0" w:space="0" w:color="auto"/>
        <w:right w:val="none" w:sz="0" w:space="0" w:color="auto"/>
      </w:divBdr>
    </w:div>
    <w:div w:id="379861190">
      <w:bodyDiv w:val="1"/>
      <w:marLeft w:val="0"/>
      <w:marRight w:val="0"/>
      <w:marTop w:val="0"/>
      <w:marBottom w:val="0"/>
      <w:divBdr>
        <w:top w:val="none" w:sz="0" w:space="0" w:color="auto"/>
        <w:left w:val="none" w:sz="0" w:space="0" w:color="auto"/>
        <w:bottom w:val="none" w:sz="0" w:space="0" w:color="auto"/>
        <w:right w:val="none" w:sz="0" w:space="0" w:color="auto"/>
      </w:divBdr>
    </w:div>
    <w:div w:id="398947563">
      <w:bodyDiv w:val="1"/>
      <w:marLeft w:val="0"/>
      <w:marRight w:val="0"/>
      <w:marTop w:val="0"/>
      <w:marBottom w:val="0"/>
      <w:divBdr>
        <w:top w:val="none" w:sz="0" w:space="0" w:color="auto"/>
        <w:left w:val="none" w:sz="0" w:space="0" w:color="auto"/>
        <w:bottom w:val="none" w:sz="0" w:space="0" w:color="auto"/>
        <w:right w:val="none" w:sz="0" w:space="0" w:color="auto"/>
      </w:divBdr>
    </w:div>
    <w:div w:id="400369278">
      <w:bodyDiv w:val="1"/>
      <w:marLeft w:val="0"/>
      <w:marRight w:val="0"/>
      <w:marTop w:val="0"/>
      <w:marBottom w:val="0"/>
      <w:divBdr>
        <w:top w:val="none" w:sz="0" w:space="0" w:color="auto"/>
        <w:left w:val="none" w:sz="0" w:space="0" w:color="auto"/>
        <w:bottom w:val="none" w:sz="0" w:space="0" w:color="auto"/>
        <w:right w:val="none" w:sz="0" w:space="0" w:color="auto"/>
      </w:divBdr>
    </w:div>
    <w:div w:id="400494224">
      <w:bodyDiv w:val="1"/>
      <w:marLeft w:val="0"/>
      <w:marRight w:val="0"/>
      <w:marTop w:val="0"/>
      <w:marBottom w:val="0"/>
      <w:divBdr>
        <w:top w:val="none" w:sz="0" w:space="0" w:color="auto"/>
        <w:left w:val="none" w:sz="0" w:space="0" w:color="auto"/>
        <w:bottom w:val="none" w:sz="0" w:space="0" w:color="auto"/>
        <w:right w:val="none" w:sz="0" w:space="0" w:color="auto"/>
      </w:divBdr>
    </w:div>
    <w:div w:id="405078999">
      <w:bodyDiv w:val="1"/>
      <w:marLeft w:val="0"/>
      <w:marRight w:val="0"/>
      <w:marTop w:val="0"/>
      <w:marBottom w:val="0"/>
      <w:divBdr>
        <w:top w:val="none" w:sz="0" w:space="0" w:color="auto"/>
        <w:left w:val="none" w:sz="0" w:space="0" w:color="auto"/>
        <w:bottom w:val="none" w:sz="0" w:space="0" w:color="auto"/>
        <w:right w:val="none" w:sz="0" w:space="0" w:color="auto"/>
      </w:divBdr>
    </w:div>
    <w:div w:id="405416365">
      <w:bodyDiv w:val="1"/>
      <w:marLeft w:val="0"/>
      <w:marRight w:val="0"/>
      <w:marTop w:val="0"/>
      <w:marBottom w:val="0"/>
      <w:divBdr>
        <w:top w:val="none" w:sz="0" w:space="0" w:color="auto"/>
        <w:left w:val="none" w:sz="0" w:space="0" w:color="auto"/>
        <w:bottom w:val="none" w:sz="0" w:space="0" w:color="auto"/>
        <w:right w:val="none" w:sz="0" w:space="0" w:color="auto"/>
      </w:divBdr>
    </w:div>
    <w:div w:id="405761768">
      <w:bodyDiv w:val="1"/>
      <w:marLeft w:val="0"/>
      <w:marRight w:val="0"/>
      <w:marTop w:val="0"/>
      <w:marBottom w:val="0"/>
      <w:divBdr>
        <w:top w:val="none" w:sz="0" w:space="0" w:color="auto"/>
        <w:left w:val="none" w:sz="0" w:space="0" w:color="auto"/>
        <w:bottom w:val="none" w:sz="0" w:space="0" w:color="auto"/>
        <w:right w:val="none" w:sz="0" w:space="0" w:color="auto"/>
      </w:divBdr>
    </w:div>
    <w:div w:id="418871595">
      <w:bodyDiv w:val="1"/>
      <w:marLeft w:val="0"/>
      <w:marRight w:val="0"/>
      <w:marTop w:val="0"/>
      <w:marBottom w:val="0"/>
      <w:divBdr>
        <w:top w:val="none" w:sz="0" w:space="0" w:color="auto"/>
        <w:left w:val="none" w:sz="0" w:space="0" w:color="auto"/>
        <w:bottom w:val="none" w:sz="0" w:space="0" w:color="auto"/>
        <w:right w:val="none" w:sz="0" w:space="0" w:color="auto"/>
      </w:divBdr>
    </w:div>
    <w:div w:id="421338082">
      <w:bodyDiv w:val="1"/>
      <w:marLeft w:val="0"/>
      <w:marRight w:val="0"/>
      <w:marTop w:val="0"/>
      <w:marBottom w:val="0"/>
      <w:divBdr>
        <w:top w:val="none" w:sz="0" w:space="0" w:color="auto"/>
        <w:left w:val="none" w:sz="0" w:space="0" w:color="auto"/>
        <w:bottom w:val="none" w:sz="0" w:space="0" w:color="auto"/>
        <w:right w:val="none" w:sz="0" w:space="0" w:color="auto"/>
      </w:divBdr>
    </w:div>
    <w:div w:id="448596123">
      <w:bodyDiv w:val="1"/>
      <w:marLeft w:val="0"/>
      <w:marRight w:val="0"/>
      <w:marTop w:val="0"/>
      <w:marBottom w:val="0"/>
      <w:divBdr>
        <w:top w:val="none" w:sz="0" w:space="0" w:color="auto"/>
        <w:left w:val="none" w:sz="0" w:space="0" w:color="auto"/>
        <w:bottom w:val="none" w:sz="0" w:space="0" w:color="auto"/>
        <w:right w:val="none" w:sz="0" w:space="0" w:color="auto"/>
      </w:divBdr>
    </w:div>
    <w:div w:id="466241956">
      <w:bodyDiv w:val="1"/>
      <w:marLeft w:val="0"/>
      <w:marRight w:val="0"/>
      <w:marTop w:val="0"/>
      <w:marBottom w:val="0"/>
      <w:divBdr>
        <w:top w:val="none" w:sz="0" w:space="0" w:color="auto"/>
        <w:left w:val="none" w:sz="0" w:space="0" w:color="auto"/>
        <w:bottom w:val="none" w:sz="0" w:space="0" w:color="auto"/>
        <w:right w:val="none" w:sz="0" w:space="0" w:color="auto"/>
      </w:divBdr>
    </w:div>
    <w:div w:id="499470273">
      <w:bodyDiv w:val="1"/>
      <w:marLeft w:val="0"/>
      <w:marRight w:val="0"/>
      <w:marTop w:val="0"/>
      <w:marBottom w:val="0"/>
      <w:divBdr>
        <w:top w:val="none" w:sz="0" w:space="0" w:color="auto"/>
        <w:left w:val="none" w:sz="0" w:space="0" w:color="auto"/>
        <w:bottom w:val="none" w:sz="0" w:space="0" w:color="auto"/>
        <w:right w:val="none" w:sz="0" w:space="0" w:color="auto"/>
      </w:divBdr>
    </w:div>
    <w:div w:id="534735061">
      <w:bodyDiv w:val="1"/>
      <w:marLeft w:val="0"/>
      <w:marRight w:val="0"/>
      <w:marTop w:val="0"/>
      <w:marBottom w:val="0"/>
      <w:divBdr>
        <w:top w:val="none" w:sz="0" w:space="0" w:color="auto"/>
        <w:left w:val="none" w:sz="0" w:space="0" w:color="auto"/>
        <w:bottom w:val="none" w:sz="0" w:space="0" w:color="auto"/>
        <w:right w:val="none" w:sz="0" w:space="0" w:color="auto"/>
      </w:divBdr>
    </w:div>
    <w:div w:id="535123810">
      <w:bodyDiv w:val="1"/>
      <w:marLeft w:val="0"/>
      <w:marRight w:val="0"/>
      <w:marTop w:val="0"/>
      <w:marBottom w:val="0"/>
      <w:divBdr>
        <w:top w:val="none" w:sz="0" w:space="0" w:color="auto"/>
        <w:left w:val="none" w:sz="0" w:space="0" w:color="auto"/>
        <w:bottom w:val="none" w:sz="0" w:space="0" w:color="auto"/>
        <w:right w:val="none" w:sz="0" w:space="0" w:color="auto"/>
      </w:divBdr>
    </w:div>
    <w:div w:id="543248793">
      <w:bodyDiv w:val="1"/>
      <w:marLeft w:val="0"/>
      <w:marRight w:val="0"/>
      <w:marTop w:val="0"/>
      <w:marBottom w:val="0"/>
      <w:divBdr>
        <w:top w:val="none" w:sz="0" w:space="0" w:color="auto"/>
        <w:left w:val="none" w:sz="0" w:space="0" w:color="auto"/>
        <w:bottom w:val="none" w:sz="0" w:space="0" w:color="auto"/>
        <w:right w:val="none" w:sz="0" w:space="0" w:color="auto"/>
      </w:divBdr>
    </w:div>
    <w:div w:id="604732220">
      <w:bodyDiv w:val="1"/>
      <w:marLeft w:val="0"/>
      <w:marRight w:val="0"/>
      <w:marTop w:val="0"/>
      <w:marBottom w:val="0"/>
      <w:divBdr>
        <w:top w:val="none" w:sz="0" w:space="0" w:color="auto"/>
        <w:left w:val="none" w:sz="0" w:space="0" w:color="auto"/>
        <w:bottom w:val="none" w:sz="0" w:space="0" w:color="auto"/>
        <w:right w:val="none" w:sz="0" w:space="0" w:color="auto"/>
      </w:divBdr>
    </w:div>
    <w:div w:id="605962843">
      <w:bodyDiv w:val="1"/>
      <w:marLeft w:val="0"/>
      <w:marRight w:val="0"/>
      <w:marTop w:val="0"/>
      <w:marBottom w:val="0"/>
      <w:divBdr>
        <w:top w:val="none" w:sz="0" w:space="0" w:color="auto"/>
        <w:left w:val="none" w:sz="0" w:space="0" w:color="auto"/>
        <w:bottom w:val="none" w:sz="0" w:space="0" w:color="auto"/>
        <w:right w:val="none" w:sz="0" w:space="0" w:color="auto"/>
      </w:divBdr>
    </w:div>
    <w:div w:id="614948024">
      <w:bodyDiv w:val="1"/>
      <w:marLeft w:val="0"/>
      <w:marRight w:val="0"/>
      <w:marTop w:val="0"/>
      <w:marBottom w:val="0"/>
      <w:divBdr>
        <w:top w:val="none" w:sz="0" w:space="0" w:color="auto"/>
        <w:left w:val="none" w:sz="0" w:space="0" w:color="auto"/>
        <w:bottom w:val="none" w:sz="0" w:space="0" w:color="auto"/>
        <w:right w:val="none" w:sz="0" w:space="0" w:color="auto"/>
      </w:divBdr>
    </w:div>
    <w:div w:id="615017045">
      <w:bodyDiv w:val="1"/>
      <w:marLeft w:val="0"/>
      <w:marRight w:val="0"/>
      <w:marTop w:val="0"/>
      <w:marBottom w:val="0"/>
      <w:divBdr>
        <w:top w:val="none" w:sz="0" w:space="0" w:color="auto"/>
        <w:left w:val="none" w:sz="0" w:space="0" w:color="auto"/>
        <w:bottom w:val="none" w:sz="0" w:space="0" w:color="auto"/>
        <w:right w:val="none" w:sz="0" w:space="0" w:color="auto"/>
      </w:divBdr>
    </w:div>
    <w:div w:id="636684394">
      <w:bodyDiv w:val="1"/>
      <w:marLeft w:val="0"/>
      <w:marRight w:val="0"/>
      <w:marTop w:val="0"/>
      <w:marBottom w:val="0"/>
      <w:divBdr>
        <w:top w:val="none" w:sz="0" w:space="0" w:color="auto"/>
        <w:left w:val="none" w:sz="0" w:space="0" w:color="auto"/>
        <w:bottom w:val="none" w:sz="0" w:space="0" w:color="auto"/>
        <w:right w:val="none" w:sz="0" w:space="0" w:color="auto"/>
      </w:divBdr>
    </w:div>
    <w:div w:id="641272212">
      <w:bodyDiv w:val="1"/>
      <w:marLeft w:val="0"/>
      <w:marRight w:val="0"/>
      <w:marTop w:val="0"/>
      <w:marBottom w:val="0"/>
      <w:divBdr>
        <w:top w:val="none" w:sz="0" w:space="0" w:color="auto"/>
        <w:left w:val="none" w:sz="0" w:space="0" w:color="auto"/>
        <w:bottom w:val="none" w:sz="0" w:space="0" w:color="auto"/>
        <w:right w:val="none" w:sz="0" w:space="0" w:color="auto"/>
      </w:divBdr>
    </w:div>
    <w:div w:id="658922095">
      <w:bodyDiv w:val="1"/>
      <w:marLeft w:val="0"/>
      <w:marRight w:val="0"/>
      <w:marTop w:val="0"/>
      <w:marBottom w:val="0"/>
      <w:divBdr>
        <w:top w:val="none" w:sz="0" w:space="0" w:color="auto"/>
        <w:left w:val="none" w:sz="0" w:space="0" w:color="auto"/>
        <w:bottom w:val="none" w:sz="0" w:space="0" w:color="auto"/>
        <w:right w:val="none" w:sz="0" w:space="0" w:color="auto"/>
      </w:divBdr>
    </w:div>
    <w:div w:id="660546244">
      <w:bodyDiv w:val="1"/>
      <w:marLeft w:val="0"/>
      <w:marRight w:val="0"/>
      <w:marTop w:val="0"/>
      <w:marBottom w:val="0"/>
      <w:divBdr>
        <w:top w:val="none" w:sz="0" w:space="0" w:color="auto"/>
        <w:left w:val="none" w:sz="0" w:space="0" w:color="auto"/>
        <w:bottom w:val="none" w:sz="0" w:space="0" w:color="auto"/>
        <w:right w:val="none" w:sz="0" w:space="0" w:color="auto"/>
      </w:divBdr>
    </w:div>
    <w:div w:id="662007787">
      <w:bodyDiv w:val="1"/>
      <w:marLeft w:val="0"/>
      <w:marRight w:val="0"/>
      <w:marTop w:val="0"/>
      <w:marBottom w:val="0"/>
      <w:divBdr>
        <w:top w:val="none" w:sz="0" w:space="0" w:color="auto"/>
        <w:left w:val="none" w:sz="0" w:space="0" w:color="auto"/>
        <w:bottom w:val="none" w:sz="0" w:space="0" w:color="auto"/>
        <w:right w:val="none" w:sz="0" w:space="0" w:color="auto"/>
      </w:divBdr>
    </w:div>
    <w:div w:id="668825737">
      <w:bodyDiv w:val="1"/>
      <w:marLeft w:val="0"/>
      <w:marRight w:val="0"/>
      <w:marTop w:val="0"/>
      <w:marBottom w:val="0"/>
      <w:divBdr>
        <w:top w:val="none" w:sz="0" w:space="0" w:color="auto"/>
        <w:left w:val="none" w:sz="0" w:space="0" w:color="auto"/>
        <w:bottom w:val="none" w:sz="0" w:space="0" w:color="auto"/>
        <w:right w:val="none" w:sz="0" w:space="0" w:color="auto"/>
      </w:divBdr>
    </w:div>
    <w:div w:id="673143049">
      <w:bodyDiv w:val="1"/>
      <w:marLeft w:val="0"/>
      <w:marRight w:val="0"/>
      <w:marTop w:val="0"/>
      <w:marBottom w:val="0"/>
      <w:divBdr>
        <w:top w:val="none" w:sz="0" w:space="0" w:color="auto"/>
        <w:left w:val="none" w:sz="0" w:space="0" w:color="auto"/>
        <w:bottom w:val="none" w:sz="0" w:space="0" w:color="auto"/>
        <w:right w:val="none" w:sz="0" w:space="0" w:color="auto"/>
      </w:divBdr>
    </w:div>
    <w:div w:id="700591527">
      <w:bodyDiv w:val="1"/>
      <w:marLeft w:val="0"/>
      <w:marRight w:val="0"/>
      <w:marTop w:val="0"/>
      <w:marBottom w:val="0"/>
      <w:divBdr>
        <w:top w:val="none" w:sz="0" w:space="0" w:color="auto"/>
        <w:left w:val="none" w:sz="0" w:space="0" w:color="auto"/>
        <w:bottom w:val="none" w:sz="0" w:space="0" w:color="auto"/>
        <w:right w:val="none" w:sz="0" w:space="0" w:color="auto"/>
      </w:divBdr>
    </w:div>
    <w:div w:id="726492025">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41028837">
      <w:bodyDiv w:val="1"/>
      <w:marLeft w:val="0"/>
      <w:marRight w:val="0"/>
      <w:marTop w:val="0"/>
      <w:marBottom w:val="0"/>
      <w:divBdr>
        <w:top w:val="none" w:sz="0" w:space="0" w:color="auto"/>
        <w:left w:val="none" w:sz="0" w:space="0" w:color="auto"/>
        <w:bottom w:val="none" w:sz="0" w:space="0" w:color="auto"/>
        <w:right w:val="none" w:sz="0" w:space="0" w:color="auto"/>
      </w:divBdr>
    </w:div>
    <w:div w:id="763960087">
      <w:bodyDiv w:val="1"/>
      <w:marLeft w:val="0"/>
      <w:marRight w:val="0"/>
      <w:marTop w:val="0"/>
      <w:marBottom w:val="0"/>
      <w:divBdr>
        <w:top w:val="none" w:sz="0" w:space="0" w:color="auto"/>
        <w:left w:val="none" w:sz="0" w:space="0" w:color="auto"/>
        <w:bottom w:val="none" w:sz="0" w:space="0" w:color="auto"/>
        <w:right w:val="none" w:sz="0" w:space="0" w:color="auto"/>
      </w:divBdr>
    </w:div>
    <w:div w:id="765076687">
      <w:bodyDiv w:val="1"/>
      <w:marLeft w:val="0"/>
      <w:marRight w:val="0"/>
      <w:marTop w:val="0"/>
      <w:marBottom w:val="0"/>
      <w:divBdr>
        <w:top w:val="none" w:sz="0" w:space="0" w:color="auto"/>
        <w:left w:val="none" w:sz="0" w:space="0" w:color="auto"/>
        <w:bottom w:val="none" w:sz="0" w:space="0" w:color="auto"/>
        <w:right w:val="none" w:sz="0" w:space="0" w:color="auto"/>
      </w:divBdr>
    </w:div>
    <w:div w:id="776143389">
      <w:bodyDiv w:val="1"/>
      <w:marLeft w:val="0"/>
      <w:marRight w:val="0"/>
      <w:marTop w:val="0"/>
      <w:marBottom w:val="0"/>
      <w:divBdr>
        <w:top w:val="none" w:sz="0" w:space="0" w:color="auto"/>
        <w:left w:val="none" w:sz="0" w:space="0" w:color="auto"/>
        <w:bottom w:val="none" w:sz="0" w:space="0" w:color="auto"/>
        <w:right w:val="none" w:sz="0" w:space="0" w:color="auto"/>
      </w:divBdr>
    </w:div>
    <w:div w:id="808404633">
      <w:bodyDiv w:val="1"/>
      <w:marLeft w:val="0"/>
      <w:marRight w:val="0"/>
      <w:marTop w:val="0"/>
      <w:marBottom w:val="0"/>
      <w:divBdr>
        <w:top w:val="none" w:sz="0" w:space="0" w:color="auto"/>
        <w:left w:val="none" w:sz="0" w:space="0" w:color="auto"/>
        <w:bottom w:val="none" w:sz="0" w:space="0" w:color="auto"/>
        <w:right w:val="none" w:sz="0" w:space="0" w:color="auto"/>
      </w:divBdr>
    </w:div>
    <w:div w:id="810288910">
      <w:bodyDiv w:val="1"/>
      <w:marLeft w:val="0"/>
      <w:marRight w:val="0"/>
      <w:marTop w:val="0"/>
      <w:marBottom w:val="0"/>
      <w:divBdr>
        <w:top w:val="none" w:sz="0" w:space="0" w:color="auto"/>
        <w:left w:val="none" w:sz="0" w:space="0" w:color="auto"/>
        <w:bottom w:val="none" w:sz="0" w:space="0" w:color="auto"/>
        <w:right w:val="none" w:sz="0" w:space="0" w:color="auto"/>
      </w:divBdr>
    </w:div>
    <w:div w:id="815530919">
      <w:bodyDiv w:val="1"/>
      <w:marLeft w:val="0"/>
      <w:marRight w:val="0"/>
      <w:marTop w:val="0"/>
      <w:marBottom w:val="0"/>
      <w:divBdr>
        <w:top w:val="none" w:sz="0" w:space="0" w:color="auto"/>
        <w:left w:val="none" w:sz="0" w:space="0" w:color="auto"/>
        <w:bottom w:val="none" w:sz="0" w:space="0" w:color="auto"/>
        <w:right w:val="none" w:sz="0" w:space="0" w:color="auto"/>
      </w:divBdr>
    </w:div>
    <w:div w:id="827747676">
      <w:bodyDiv w:val="1"/>
      <w:marLeft w:val="0"/>
      <w:marRight w:val="0"/>
      <w:marTop w:val="0"/>
      <w:marBottom w:val="0"/>
      <w:divBdr>
        <w:top w:val="none" w:sz="0" w:space="0" w:color="auto"/>
        <w:left w:val="none" w:sz="0" w:space="0" w:color="auto"/>
        <w:bottom w:val="none" w:sz="0" w:space="0" w:color="auto"/>
        <w:right w:val="none" w:sz="0" w:space="0" w:color="auto"/>
      </w:divBdr>
    </w:div>
    <w:div w:id="831487130">
      <w:bodyDiv w:val="1"/>
      <w:marLeft w:val="0"/>
      <w:marRight w:val="0"/>
      <w:marTop w:val="0"/>
      <w:marBottom w:val="0"/>
      <w:divBdr>
        <w:top w:val="none" w:sz="0" w:space="0" w:color="auto"/>
        <w:left w:val="none" w:sz="0" w:space="0" w:color="auto"/>
        <w:bottom w:val="none" w:sz="0" w:space="0" w:color="auto"/>
        <w:right w:val="none" w:sz="0" w:space="0" w:color="auto"/>
      </w:divBdr>
    </w:div>
    <w:div w:id="837039281">
      <w:bodyDiv w:val="1"/>
      <w:marLeft w:val="0"/>
      <w:marRight w:val="0"/>
      <w:marTop w:val="0"/>
      <w:marBottom w:val="0"/>
      <w:divBdr>
        <w:top w:val="none" w:sz="0" w:space="0" w:color="auto"/>
        <w:left w:val="none" w:sz="0" w:space="0" w:color="auto"/>
        <w:bottom w:val="none" w:sz="0" w:space="0" w:color="auto"/>
        <w:right w:val="none" w:sz="0" w:space="0" w:color="auto"/>
      </w:divBdr>
    </w:div>
    <w:div w:id="870462446">
      <w:bodyDiv w:val="1"/>
      <w:marLeft w:val="0"/>
      <w:marRight w:val="0"/>
      <w:marTop w:val="0"/>
      <w:marBottom w:val="0"/>
      <w:divBdr>
        <w:top w:val="none" w:sz="0" w:space="0" w:color="auto"/>
        <w:left w:val="none" w:sz="0" w:space="0" w:color="auto"/>
        <w:bottom w:val="none" w:sz="0" w:space="0" w:color="auto"/>
        <w:right w:val="none" w:sz="0" w:space="0" w:color="auto"/>
      </w:divBdr>
    </w:div>
    <w:div w:id="871377175">
      <w:bodyDiv w:val="1"/>
      <w:marLeft w:val="0"/>
      <w:marRight w:val="0"/>
      <w:marTop w:val="0"/>
      <w:marBottom w:val="0"/>
      <w:divBdr>
        <w:top w:val="none" w:sz="0" w:space="0" w:color="auto"/>
        <w:left w:val="none" w:sz="0" w:space="0" w:color="auto"/>
        <w:bottom w:val="none" w:sz="0" w:space="0" w:color="auto"/>
        <w:right w:val="none" w:sz="0" w:space="0" w:color="auto"/>
      </w:divBdr>
    </w:div>
    <w:div w:id="875658563">
      <w:bodyDiv w:val="1"/>
      <w:marLeft w:val="0"/>
      <w:marRight w:val="0"/>
      <w:marTop w:val="0"/>
      <w:marBottom w:val="0"/>
      <w:divBdr>
        <w:top w:val="none" w:sz="0" w:space="0" w:color="auto"/>
        <w:left w:val="none" w:sz="0" w:space="0" w:color="auto"/>
        <w:bottom w:val="none" w:sz="0" w:space="0" w:color="auto"/>
        <w:right w:val="none" w:sz="0" w:space="0" w:color="auto"/>
      </w:divBdr>
    </w:div>
    <w:div w:id="890120973">
      <w:bodyDiv w:val="1"/>
      <w:marLeft w:val="0"/>
      <w:marRight w:val="0"/>
      <w:marTop w:val="0"/>
      <w:marBottom w:val="0"/>
      <w:divBdr>
        <w:top w:val="none" w:sz="0" w:space="0" w:color="auto"/>
        <w:left w:val="none" w:sz="0" w:space="0" w:color="auto"/>
        <w:bottom w:val="none" w:sz="0" w:space="0" w:color="auto"/>
        <w:right w:val="none" w:sz="0" w:space="0" w:color="auto"/>
      </w:divBdr>
    </w:div>
    <w:div w:id="890462025">
      <w:bodyDiv w:val="1"/>
      <w:marLeft w:val="0"/>
      <w:marRight w:val="0"/>
      <w:marTop w:val="0"/>
      <w:marBottom w:val="0"/>
      <w:divBdr>
        <w:top w:val="none" w:sz="0" w:space="0" w:color="auto"/>
        <w:left w:val="none" w:sz="0" w:space="0" w:color="auto"/>
        <w:bottom w:val="none" w:sz="0" w:space="0" w:color="auto"/>
        <w:right w:val="none" w:sz="0" w:space="0" w:color="auto"/>
      </w:divBdr>
    </w:div>
    <w:div w:id="894395513">
      <w:bodyDiv w:val="1"/>
      <w:marLeft w:val="0"/>
      <w:marRight w:val="0"/>
      <w:marTop w:val="0"/>
      <w:marBottom w:val="0"/>
      <w:divBdr>
        <w:top w:val="none" w:sz="0" w:space="0" w:color="auto"/>
        <w:left w:val="none" w:sz="0" w:space="0" w:color="auto"/>
        <w:bottom w:val="none" w:sz="0" w:space="0" w:color="auto"/>
        <w:right w:val="none" w:sz="0" w:space="0" w:color="auto"/>
      </w:divBdr>
    </w:div>
    <w:div w:id="905915178">
      <w:bodyDiv w:val="1"/>
      <w:marLeft w:val="0"/>
      <w:marRight w:val="0"/>
      <w:marTop w:val="0"/>
      <w:marBottom w:val="0"/>
      <w:divBdr>
        <w:top w:val="none" w:sz="0" w:space="0" w:color="auto"/>
        <w:left w:val="none" w:sz="0" w:space="0" w:color="auto"/>
        <w:bottom w:val="none" w:sz="0" w:space="0" w:color="auto"/>
        <w:right w:val="none" w:sz="0" w:space="0" w:color="auto"/>
      </w:divBdr>
    </w:div>
    <w:div w:id="911700669">
      <w:bodyDiv w:val="1"/>
      <w:marLeft w:val="0"/>
      <w:marRight w:val="0"/>
      <w:marTop w:val="0"/>
      <w:marBottom w:val="0"/>
      <w:divBdr>
        <w:top w:val="none" w:sz="0" w:space="0" w:color="auto"/>
        <w:left w:val="none" w:sz="0" w:space="0" w:color="auto"/>
        <w:bottom w:val="none" w:sz="0" w:space="0" w:color="auto"/>
        <w:right w:val="none" w:sz="0" w:space="0" w:color="auto"/>
      </w:divBdr>
    </w:div>
    <w:div w:id="930627946">
      <w:bodyDiv w:val="1"/>
      <w:marLeft w:val="0"/>
      <w:marRight w:val="0"/>
      <w:marTop w:val="0"/>
      <w:marBottom w:val="0"/>
      <w:divBdr>
        <w:top w:val="none" w:sz="0" w:space="0" w:color="auto"/>
        <w:left w:val="none" w:sz="0" w:space="0" w:color="auto"/>
        <w:bottom w:val="none" w:sz="0" w:space="0" w:color="auto"/>
        <w:right w:val="none" w:sz="0" w:space="0" w:color="auto"/>
      </w:divBdr>
    </w:div>
    <w:div w:id="931596239">
      <w:bodyDiv w:val="1"/>
      <w:marLeft w:val="0"/>
      <w:marRight w:val="0"/>
      <w:marTop w:val="0"/>
      <w:marBottom w:val="0"/>
      <w:divBdr>
        <w:top w:val="none" w:sz="0" w:space="0" w:color="auto"/>
        <w:left w:val="none" w:sz="0" w:space="0" w:color="auto"/>
        <w:bottom w:val="none" w:sz="0" w:space="0" w:color="auto"/>
        <w:right w:val="none" w:sz="0" w:space="0" w:color="auto"/>
      </w:divBdr>
    </w:div>
    <w:div w:id="948321240">
      <w:bodyDiv w:val="1"/>
      <w:marLeft w:val="0"/>
      <w:marRight w:val="0"/>
      <w:marTop w:val="0"/>
      <w:marBottom w:val="0"/>
      <w:divBdr>
        <w:top w:val="none" w:sz="0" w:space="0" w:color="auto"/>
        <w:left w:val="none" w:sz="0" w:space="0" w:color="auto"/>
        <w:bottom w:val="none" w:sz="0" w:space="0" w:color="auto"/>
        <w:right w:val="none" w:sz="0" w:space="0" w:color="auto"/>
      </w:divBdr>
    </w:div>
    <w:div w:id="1009410868">
      <w:bodyDiv w:val="1"/>
      <w:marLeft w:val="0"/>
      <w:marRight w:val="0"/>
      <w:marTop w:val="0"/>
      <w:marBottom w:val="0"/>
      <w:divBdr>
        <w:top w:val="none" w:sz="0" w:space="0" w:color="auto"/>
        <w:left w:val="none" w:sz="0" w:space="0" w:color="auto"/>
        <w:bottom w:val="none" w:sz="0" w:space="0" w:color="auto"/>
        <w:right w:val="none" w:sz="0" w:space="0" w:color="auto"/>
      </w:divBdr>
    </w:div>
    <w:div w:id="1018510774">
      <w:bodyDiv w:val="1"/>
      <w:marLeft w:val="0"/>
      <w:marRight w:val="0"/>
      <w:marTop w:val="0"/>
      <w:marBottom w:val="0"/>
      <w:divBdr>
        <w:top w:val="none" w:sz="0" w:space="0" w:color="auto"/>
        <w:left w:val="none" w:sz="0" w:space="0" w:color="auto"/>
        <w:bottom w:val="none" w:sz="0" w:space="0" w:color="auto"/>
        <w:right w:val="none" w:sz="0" w:space="0" w:color="auto"/>
      </w:divBdr>
    </w:div>
    <w:div w:id="1093430711">
      <w:bodyDiv w:val="1"/>
      <w:marLeft w:val="0"/>
      <w:marRight w:val="0"/>
      <w:marTop w:val="0"/>
      <w:marBottom w:val="0"/>
      <w:divBdr>
        <w:top w:val="none" w:sz="0" w:space="0" w:color="auto"/>
        <w:left w:val="none" w:sz="0" w:space="0" w:color="auto"/>
        <w:bottom w:val="none" w:sz="0" w:space="0" w:color="auto"/>
        <w:right w:val="none" w:sz="0" w:space="0" w:color="auto"/>
      </w:divBdr>
    </w:div>
    <w:div w:id="1101335835">
      <w:bodyDiv w:val="1"/>
      <w:marLeft w:val="0"/>
      <w:marRight w:val="0"/>
      <w:marTop w:val="0"/>
      <w:marBottom w:val="0"/>
      <w:divBdr>
        <w:top w:val="none" w:sz="0" w:space="0" w:color="auto"/>
        <w:left w:val="none" w:sz="0" w:space="0" w:color="auto"/>
        <w:bottom w:val="none" w:sz="0" w:space="0" w:color="auto"/>
        <w:right w:val="none" w:sz="0" w:space="0" w:color="auto"/>
      </w:divBdr>
    </w:div>
    <w:div w:id="1103569450">
      <w:bodyDiv w:val="1"/>
      <w:marLeft w:val="0"/>
      <w:marRight w:val="0"/>
      <w:marTop w:val="0"/>
      <w:marBottom w:val="0"/>
      <w:divBdr>
        <w:top w:val="none" w:sz="0" w:space="0" w:color="auto"/>
        <w:left w:val="none" w:sz="0" w:space="0" w:color="auto"/>
        <w:bottom w:val="none" w:sz="0" w:space="0" w:color="auto"/>
        <w:right w:val="none" w:sz="0" w:space="0" w:color="auto"/>
      </w:divBdr>
    </w:div>
    <w:div w:id="1141800487">
      <w:bodyDiv w:val="1"/>
      <w:marLeft w:val="0"/>
      <w:marRight w:val="0"/>
      <w:marTop w:val="0"/>
      <w:marBottom w:val="0"/>
      <w:divBdr>
        <w:top w:val="none" w:sz="0" w:space="0" w:color="auto"/>
        <w:left w:val="none" w:sz="0" w:space="0" w:color="auto"/>
        <w:bottom w:val="none" w:sz="0" w:space="0" w:color="auto"/>
        <w:right w:val="none" w:sz="0" w:space="0" w:color="auto"/>
      </w:divBdr>
    </w:div>
    <w:div w:id="1151674952">
      <w:bodyDiv w:val="1"/>
      <w:marLeft w:val="0"/>
      <w:marRight w:val="0"/>
      <w:marTop w:val="0"/>
      <w:marBottom w:val="0"/>
      <w:divBdr>
        <w:top w:val="none" w:sz="0" w:space="0" w:color="auto"/>
        <w:left w:val="none" w:sz="0" w:space="0" w:color="auto"/>
        <w:bottom w:val="none" w:sz="0" w:space="0" w:color="auto"/>
        <w:right w:val="none" w:sz="0" w:space="0" w:color="auto"/>
      </w:divBdr>
    </w:div>
    <w:div w:id="1198012168">
      <w:bodyDiv w:val="1"/>
      <w:marLeft w:val="0"/>
      <w:marRight w:val="0"/>
      <w:marTop w:val="0"/>
      <w:marBottom w:val="0"/>
      <w:divBdr>
        <w:top w:val="none" w:sz="0" w:space="0" w:color="auto"/>
        <w:left w:val="none" w:sz="0" w:space="0" w:color="auto"/>
        <w:bottom w:val="none" w:sz="0" w:space="0" w:color="auto"/>
        <w:right w:val="none" w:sz="0" w:space="0" w:color="auto"/>
      </w:divBdr>
    </w:div>
    <w:div w:id="1219705668">
      <w:bodyDiv w:val="1"/>
      <w:marLeft w:val="0"/>
      <w:marRight w:val="0"/>
      <w:marTop w:val="0"/>
      <w:marBottom w:val="0"/>
      <w:divBdr>
        <w:top w:val="none" w:sz="0" w:space="0" w:color="auto"/>
        <w:left w:val="none" w:sz="0" w:space="0" w:color="auto"/>
        <w:bottom w:val="none" w:sz="0" w:space="0" w:color="auto"/>
        <w:right w:val="none" w:sz="0" w:space="0" w:color="auto"/>
      </w:divBdr>
    </w:div>
    <w:div w:id="1223638128">
      <w:bodyDiv w:val="1"/>
      <w:marLeft w:val="0"/>
      <w:marRight w:val="0"/>
      <w:marTop w:val="0"/>
      <w:marBottom w:val="0"/>
      <w:divBdr>
        <w:top w:val="none" w:sz="0" w:space="0" w:color="auto"/>
        <w:left w:val="none" w:sz="0" w:space="0" w:color="auto"/>
        <w:bottom w:val="none" w:sz="0" w:space="0" w:color="auto"/>
        <w:right w:val="none" w:sz="0" w:space="0" w:color="auto"/>
      </w:divBdr>
    </w:div>
    <w:div w:id="1247182584">
      <w:bodyDiv w:val="1"/>
      <w:marLeft w:val="0"/>
      <w:marRight w:val="0"/>
      <w:marTop w:val="0"/>
      <w:marBottom w:val="0"/>
      <w:divBdr>
        <w:top w:val="none" w:sz="0" w:space="0" w:color="auto"/>
        <w:left w:val="none" w:sz="0" w:space="0" w:color="auto"/>
        <w:bottom w:val="none" w:sz="0" w:space="0" w:color="auto"/>
        <w:right w:val="none" w:sz="0" w:space="0" w:color="auto"/>
      </w:divBdr>
    </w:div>
    <w:div w:id="1248416239">
      <w:bodyDiv w:val="1"/>
      <w:marLeft w:val="0"/>
      <w:marRight w:val="0"/>
      <w:marTop w:val="0"/>
      <w:marBottom w:val="0"/>
      <w:divBdr>
        <w:top w:val="none" w:sz="0" w:space="0" w:color="auto"/>
        <w:left w:val="none" w:sz="0" w:space="0" w:color="auto"/>
        <w:bottom w:val="none" w:sz="0" w:space="0" w:color="auto"/>
        <w:right w:val="none" w:sz="0" w:space="0" w:color="auto"/>
      </w:divBdr>
    </w:div>
    <w:div w:id="1281297814">
      <w:bodyDiv w:val="1"/>
      <w:marLeft w:val="0"/>
      <w:marRight w:val="0"/>
      <w:marTop w:val="0"/>
      <w:marBottom w:val="0"/>
      <w:divBdr>
        <w:top w:val="none" w:sz="0" w:space="0" w:color="auto"/>
        <w:left w:val="none" w:sz="0" w:space="0" w:color="auto"/>
        <w:bottom w:val="none" w:sz="0" w:space="0" w:color="auto"/>
        <w:right w:val="none" w:sz="0" w:space="0" w:color="auto"/>
      </w:divBdr>
    </w:div>
    <w:div w:id="1297685694">
      <w:bodyDiv w:val="1"/>
      <w:marLeft w:val="0"/>
      <w:marRight w:val="0"/>
      <w:marTop w:val="0"/>
      <w:marBottom w:val="0"/>
      <w:divBdr>
        <w:top w:val="none" w:sz="0" w:space="0" w:color="auto"/>
        <w:left w:val="none" w:sz="0" w:space="0" w:color="auto"/>
        <w:bottom w:val="none" w:sz="0" w:space="0" w:color="auto"/>
        <w:right w:val="none" w:sz="0" w:space="0" w:color="auto"/>
      </w:divBdr>
    </w:div>
    <w:div w:id="1327440043">
      <w:bodyDiv w:val="1"/>
      <w:marLeft w:val="0"/>
      <w:marRight w:val="0"/>
      <w:marTop w:val="0"/>
      <w:marBottom w:val="0"/>
      <w:divBdr>
        <w:top w:val="none" w:sz="0" w:space="0" w:color="auto"/>
        <w:left w:val="none" w:sz="0" w:space="0" w:color="auto"/>
        <w:bottom w:val="none" w:sz="0" w:space="0" w:color="auto"/>
        <w:right w:val="none" w:sz="0" w:space="0" w:color="auto"/>
      </w:divBdr>
    </w:div>
    <w:div w:id="1333143281">
      <w:bodyDiv w:val="1"/>
      <w:marLeft w:val="0"/>
      <w:marRight w:val="0"/>
      <w:marTop w:val="0"/>
      <w:marBottom w:val="0"/>
      <w:divBdr>
        <w:top w:val="none" w:sz="0" w:space="0" w:color="auto"/>
        <w:left w:val="none" w:sz="0" w:space="0" w:color="auto"/>
        <w:bottom w:val="none" w:sz="0" w:space="0" w:color="auto"/>
        <w:right w:val="none" w:sz="0" w:space="0" w:color="auto"/>
      </w:divBdr>
    </w:div>
    <w:div w:id="1338776545">
      <w:bodyDiv w:val="1"/>
      <w:marLeft w:val="0"/>
      <w:marRight w:val="0"/>
      <w:marTop w:val="0"/>
      <w:marBottom w:val="0"/>
      <w:divBdr>
        <w:top w:val="none" w:sz="0" w:space="0" w:color="auto"/>
        <w:left w:val="none" w:sz="0" w:space="0" w:color="auto"/>
        <w:bottom w:val="none" w:sz="0" w:space="0" w:color="auto"/>
        <w:right w:val="none" w:sz="0" w:space="0" w:color="auto"/>
      </w:divBdr>
    </w:div>
    <w:div w:id="1358850817">
      <w:bodyDiv w:val="1"/>
      <w:marLeft w:val="0"/>
      <w:marRight w:val="0"/>
      <w:marTop w:val="0"/>
      <w:marBottom w:val="0"/>
      <w:divBdr>
        <w:top w:val="none" w:sz="0" w:space="0" w:color="auto"/>
        <w:left w:val="none" w:sz="0" w:space="0" w:color="auto"/>
        <w:bottom w:val="none" w:sz="0" w:space="0" w:color="auto"/>
        <w:right w:val="none" w:sz="0" w:space="0" w:color="auto"/>
      </w:divBdr>
    </w:div>
    <w:div w:id="1375035816">
      <w:bodyDiv w:val="1"/>
      <w:marLeft w:val="0"/>
      <w:marRight w:val="0"/>
      <w:marTop w:val="0"/>
      <w:marBottom w:val="0"/>
      <w:divBdr>
        <w:top w:val="none" w:sz="0" w:space="0" w:color="auto"/>
        <w:left w:val="none" w:sz="0" w:space="0" w:color="auto"/>
        <w:bottom w:val="none" w:sz="0" w:space="0" w:color="auto"/>
        <w:right w:val="none" w:sz="0" w:space="0" w:color="auto"/>
      </w:divBdr>
    </w:div>
    <w:div w:id="1398168681">
      <w:bodyDiv w:val="1"/>
      <w:marLeft w:val="0"/>
      <w:marRight w:val="0"/>
      <w:marTop w:val="0"/>
      <w:marBottom w:val="0"/>
      <w:divBdr>
        <w:top w:val="none" w:sz="0" w:space="0" w:color="auto"/>
        <w:left w:val="none" w:sz="0" w:space="0" w:color="auto"/>
        <w:bottom w:val="none" w:sz="0" w:space="0" w:color="auto"/>
        <w:right w:val="none" w:sz="0" w:space="0" w:color="auto"/>
      </w:divBdr>
    </w:div>
    <w:div w:id="1400513578">
      <w:bodyDiv w:val="1"/>
      <w:marLeft w:val="0"/>
      <w:marRight w:val="0"/>
      <w:marTop w:val="0"/>
      <w:marBottom w:val="0"/>
      <w:divBdr>
        <w:top w:val="none" w:sz="0" w:space="0" w:color="auto"/>
        <w:left w:val="none" w:sz="0" w:space="0" w:color="auto"/>
        <w:bottom w:val="none" w:sz="0" w:space="0" w:color="auto"/>
        <w:right w:val="none" w:sz="0" w:space="0" w:color="auto"/>
      </w:divBdr>
    </w:div>
    <w:div w:id="1428963846">
      <w:bodyDiv w:val="1"/>
      <w:marLeft w:val="0"/>
      <w:marRight w:val="0"/>
      <w:marTop w:val="0"/>
      <w:marBottom w:val="0"/>
      <w:divBdr>
        <w:top w:val="none" w:sz="0" w:space="0" w:color="auto"/>
        <w:left w:val="none" w:sz="0" w:space="0" w:color="auto"/>
        <w:bottom w:val="none" w:sz="0" w:space="0" w:color="auto"/>
        <w:right w:val="none" w:sz="0" w:space="0" w:color="auto"/>
      </w:divBdr>
    </w:div>
    <w:div w:id="1429544748">
      <w:bodyDiv w:val="1"/>
      <w:marLeft w:val="0"/>
      <w:marRight w:val="0"/>
      <w:marTop w:val="0"/>
      <w:marBottom w:val="0"/>
      <w:divBdr>
        <w:top w:val="none" w:sz="0" w:space="0" w:color="auto"/>
        <w:left w:val="none" w:sz="0" w:space="0" w:color="auto"/>
        <w:bottom w:val="none" w:sz="0" w:space="0" w:color="auto"/>
        <w:right w:val="none" w:sz="0" w:space="0" w:color="auto"/>
      </w:divBdr>
    </w:div>
    <w:div w:id="1436900772">
      <w:bodyDiv w:val="1"/>
      <w:marLeft w:val="0"/>
      <w:marRight w:val="0"/>
      <w:marTop w:val="0"/>
      <w:marBottom w:val="0"/>
      <w:divBdr>
        <w:top w:val="none" w:sz="0" w:space="0" w:color="auto"/>
        <w:left w:val="none" w:sz="0" w:space="0" w:color="auto"/>
        <w:bottom w:val="none" w:sz="0" w:space="0" w:color="auto"/>
        <w:right w:val="none" w:sz="0" w:space="0" w:color="auto"/>
      </w:divBdr>
    </w:div>
    <w:div w:id="1456607343">
      <w:bodyDiv w:val="1"/>
      <w:marLeft w:val="0"/>
      <w:marRight w:val="0"/>
      <w:marTop w:val="0"/>
      <w:marBottom w:val="0"/>
      <w:divBdr>
        <w:top w:val="none" w:sz="0" w:space="0" w:color="auto"/>
        <w:left w:val="none" w:sz="0" w:space="0" w:color="auto"/>
        <w:bottom w:val="none" w:sz="0" w:space="0" w:color="auto"/>
        <w:right w:val="none" w:sz="0" w:space="0" w:color="auto"/>
      </w:divBdr>
    </w:div>
    <w:div w:id="1458448748">
      <w:bodyDiv w:val="1"/>
      <w:marLeft w:val="0"/>
      <w:marRight w:val="0"/>
      <w:marTop w:val="0"/>
      <w:marBottom w:val="0"/>
      <w:divBdr>
        <w:top w:val="none" w:sz="0" w:space="0" w:color="auto"/>
        <w:left w:val="none" w:sz="0" w:space="0" w:color="auto"/>
        <w:bottom w:val="none" w:sz="0" w:space="0" w:color="auto"/>
        <w:right w:val="none" w:sz="0" w:space="0" w:color="auto"/>
      </w:divBdr>
    </w:div>
    <w:div w:id="1476725600">
      <w:bodyDiv w:val="1"/>
      <w:marLeft w:val="0"/>
      <w:marRight w:val="0"/>
      <w:marTop w:val="0"/>
      <w:marBottom w:val="0"/>
      <w:divBdr>
        <w:top w:val="none" w:sz="0" w:space="0" w:color="auto"/>
        <w:left w:val="none" w:sz="0" w:space="0" w:color="auto"/>
        <w:bottom w:val="none" w:sz="0" w:space="0" w:color="auto"/>
        <w:right w:val="none" w:sz="0" w:space="0" w:color="auto"/>
      </w:divBdr>
    </w:div>
    <w:div w:id="1486438646">
      <w:bodyDiv w:val="1"/>
      <w:marLeft w:val="0"/>
      <w:marRight w:val="0"/>
      <w:marTop w:val="0"/>
      <w:marBottom w:val="0"/>
      <w:divBdr>
        <w:top w:val="none" w:sz="0" w:space="0" w:color="auto"/>
        <w:left w:val="none" w:sz="0" w:space="0" w:color="auto"/>
        <w:bottom w:val="none" w:sz="0" w:space="0" w:color="auto"/>
        <w:right w:val="none" w:sz="0" w:space="0" w:color="auto"/>
      </w:divBdr>
    </w:div>
    <w:div w:id="1490318532">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504079502">
      <w:bodyDiv w:val="1"/>
      <w:marLeft w:val="0"/>
      <w:marRight w:val="0"/>
      <w:marTop w:val="0"/>
      <w:marBottom w:val="0"/>
      <w:divBdr>
        <w:top w:val="none" w:sz="0" w:space="0" w:color="auto"/>
        <w:left w:val="none" w:sz="0" w:space="0" w:color="auto"/>
        <w:bottom w:val="none" w:sz="0" w:space="0" w:color="auto"/>
        <w:right w:val="none" w:sz="0" w:space="0" w:color="auto"/>
      </w:divBdr>
    </w:div>
    <w:div w:id="1553539942">
      <w:bodyDiv w:val="1"/>
      <w:marLeft w:val="0"/>
      <w:marRight w:val="0"/>
      <w:marTop w:val="0"/>
      <w:marBottom w:val="0"/>
      <w:divBdr>
        <w:top w:val="none" w:sz="0" w:space="0" w:color="auto"/>
        <w:left w:val="none" w:sz="0" w:space="0" w:color="auto"/>
        <w:bottom w:val="none" w:sz="0" w:space="0" w:color="auto"/>
        <w:right w:val="none" w:sz="0" w:space="0" w:color="auto"/>
      </w:divBdr>
    </w:div>
    <w:div w:id="1577713949">
      <w:bodyDiv w:val="1"/>
      <w:marLeft w:val="0"/>
      <w:marRight w:val="0"/>
      <w:marTop w:val="0"/>
      <w:marBottom w:val="0"/>
      <w:divBdr>
        <w:top w:val="none" w:sz="0" w:space="0" w:color="auto"/>
        <w:left w:val="none" w:sz="0" w:space="0" w:color="auto"/>
        <w:bottom w:val="none" w:sz="0" w:space="0" w:color="auto"/>
        <w:right w:val="none" w:sz="0" w:space="0" w:color="auto"/>
      </w:divBdr>
    </w:div>
    <w:div w:id="1578441289">
      <w:bodyDiv w:val="1"/>
      <w:marLeft w:val="0"/>
      <w:marRight w:val="0"/>
      <w:marTop w:val="0"/>
      <w:marBottom w:val="0"/>
      <w:divBdr>
        <w:top w:val="none" w:sz="0" w:space="0" w:color="auto"/>
        <w:left w:val="none" w:sz="0" w:space="0" w:color="auto"/>
        <w:bottom w:val="none" w:sz="0" w:space="0" w:color="auto"/>
        <w:right w:val="none" w:sz="0" w:space="0" w:color="auto"/>
      </w:divBdr>
    </w:div>
    <w:div w:id="1578518956">
      <w:bodyDiv w:val="1"/>
      <w:marLeft w:val="0"/>
      <w:marRight w:val="0"/>
      <w:marTop w:val="0"/>
      <w:marBottom w:val="0"/>
      <w:divBdr>
        <w:top w:val="none" w:sz="0" w:space="0" w:color="auto"/>
        <w:left w:val="none" w:sz="0" w:space="0" w:color="auto"/>
        <w:bottom w:val="none" w:sz="0" w:space="0" w:color="auto"/>
        <w:right w:val="none" w:sz="0" w:space="0" w:color="auto"/>
      </w:divBdr>
    </w:div>
    <w:div w:id="1585454041">
      <w:bodyDiv w:val="1"/>
      <w:marLeft w:val="0"/>
      <w:marRight w:val="0"/>
      <w:marTop w:val="0"/>
      <w:marBottom w:val="0"/>
      <w:divBdr>
        <w:top w:val="none" w:sz="0" w:space="0" w:color="auto"/>
        <w:left w:val="none" w:sz="0" w:space="0" w:color="auto"/>
        <w:bottom w:val="none" w:sz="0" w:space="0" w:color="auto"/>
        <w:right w:val="none" w:sz="0" w:space="0" w:color="auto"/>
      </w:divBdr>
    </w:div>
    <w:div w:id="1585605913">
      <w:bodyDiv w:val="1"/>
      <w:marLeft w:val="0"/>
      <w:marRight w:val="0"/>
      <w:marTop w:val="0"/>
      <w:marBottom w:val="0"/>
      <w:divBdr>
        <w:top w:val="none" w:sz="0" w:space="0" w:color="auto"/>
        <w:left w:val="none" w:sz="0" w:space="0" w:color="auto"/>
        <w:bottom w:val="none" w:sz="0" w:space="0" w:color="auto"/>
        <w:right w:val="none" w:sz="0" w:space="0" w:color="auto"/>
      </w:divBdr>
    </w:div>
    <w:div w:id="1588685968">
      <w:bodyDiv w:val="1"/>
      <w:marLeft w:val="0"/>
      <w:marRight w:val="0"/>
      <w:marTop w:val="0"/>
      <w:marBottom w:val="0"/>
      <w:divBdr>
        <w:top w:val="none" w:sz="0" w:space="0" w:color="auto"/>
        <w:left w:val="none" w:sz="0" w:space="0" w:color="auto"/>
        <w:bottom w:val="none" w:sz="0" w:space="0" w:color="auto"/>
        <w:right w:val="none" w:sz="0" w:space="0" w:color="auto"/>
      </w:divBdr>
    </w:div>
    <w:div w:id="1607234008">
      <w:bodyDiv w:val="1"/>
      <w:marLeft w:val="0"/>
      <w:marRight w:val="0"/>
      <w:marTop w:val="0"/>
      <w:marBottom w:val="0"/>
      <w:divBdr>
        <w:top w:val="none" w:sz="0" w:space="0" w:color="auto"/>
        <w:left w:val="none" w:sz="0" w:space="0" w:color="auto"/>
        <w:bottom w:val="none" w:sz="0" w:space="0" w:color="auto"/>
        <w:right w:val="none" w:sz="0" w:space="0" w:color="auto"/>
      </w:divBdr>
    </w:div>
    <w:div w:id="1608077906">
      <w:bodyDiv w:val="1"/>
      <w:marLeft w:val="0"/>
      <w:marRight w:val="0"/>
      <w:marTop w:val="0"/>
      <w:marBottom w:val="0"/>
      <w:divBdr>
        <w:top w:val="none" w:sz="0" w:space="0" w:color="auto"/>
        <w:left w:val="none" w:sz="0" w:space="0" w:color="auto"/>
        <w:bottom w:val="none" w:sz="0" w:space="0" w:color="auto"/>
        <w:right w:val="none" w:sz="0" w:space="0" w:color="auto"/>
      </w:divBdr>
    </w:div>
    <w:div w:id="1614626300">
      <w:bodyDiv w:val="1"/>
      <w:marLeft w:val="0"/>
      <w:marRight w:val="0"/>
      <w:marTop w:val="0"/>
      <w:marBottom w:val="0"/>
      <w:divBdr>
        <w:top w:val="none" w:sz="0" w:space="0" w:color="auto"/>
        <w:left w:val="none" w:sz="0" w:space="0" w:color="auto"/>
        <w:bottom w:val="none" w:sz="0" w:space="0" w:color="auto"/>
        <w:right w:val="none" w:sz="0" w:space="0" w:color="auto"/>
      </w:divBdr>
    </w:div>
    <w:div w:id="1620339334">
      <w:bodyDiv w:val="1"/>
      <w:marLeft w:val="0"/>
      <w:marRight w:val="0"/>
      <w:marTop w:val="0"/>
      <w:marBottom w:val="0"/>
      <w:divBdr>
        <w:top w:val="none" w:sz="0" w:space="0" w:color="auto"/>
        <w:left w:val="none" w:sz="0" w:space="0" w:color="auto"/>
        <w:bottom w:val="none" w:sz="0" w:space="0" w:color="auto"/>
        <w:right w:val="none" w:sz="0" w:space="0" w:color="auto"/>
      </w:divBdr>
    </w:div>
    <w:div w:id="1632319301">
      <w:bodyDiv w:val="1"/>
      <w:marLeft w:val="0"/>
      <w:marRight w:val="0"/>
      <w:marTop w:val="0"/>
      <w:marBottom w:val="0"/>
      <w:divBdr>
        <w:top w:val="none" w:sz="0" w:space="0" w:color="auto"/>
        <w:left w:val="none" w:sz="0" w:space="0" w:color="auto"/>
        <w:bottom w:val="none" w:sz="0" w:space="0" w:color="auto"/>
        <w:right w:val="none" w:sz="0" w:space="0" w:color="auto"/>
      </w:divBdr>
    </w:div>
    <w:div w:id="1663000483">
      <w:bodyDiv w:val="1"/>
      <w:marLeft w:val="0"/>
      <w:marRight w:val="0"/>
      <w:marTop w:val="0"/>
      <w:marBottom w:val="0"/>
      <w:divBdr>
        <w:top w:val="none" w:sz="0" w:space="0" w:color="auto"/>
        <w:left w:val="none" w:sz="0" w:space="0" w:color="auto"/>
        <w:bottom w:val="none" w:sz="0" w:space="0" w:color="auto"/>
        <w:right w:val="none" w:sz="0" w:space="0" w:color="auto"/>
      </w:divBdr>
    </w:div>
    <w:div w:id="1668554887">
      <w:bodyDiv w:val="1"/>
      <w:marLeft w:val="0"/>
      <w:marRight w:val="0"/>
      <w:marTop w:val="0"/>
      <w:marBottom w:val="0"/>
      <w:divBdr>
        <w:top w:val="none" w:sz="0" w:space="0" w:color="auto"/>
        <w:left w:val="none" w:sz="0" w:space="0" w:color="auto"/>
        <w:bottom w:val="none" w:sz="0" w:space="0" w:color="auto"/>
        <w:right w:val="none" w:sz="0" w:space="0" w:color="auto"/>
      </w:divBdr>
    </w:div>
    <w:div w:id="1692535416">
      <w:bodyDiv w:val="1"/>
      <w:marLeft w:val="0"/>
      <w:marRight w:val="0"/>
      <w:marTop w:val="0"/>
      <w:marBottom w:val="0"/>
      <w:divBdr>
        <w:top w:val="none" w:sz="0" w:space="0" w:color="auto"/>
        <w:left w:val="none" w:sz="0" w:space="0" w:color="auto"/>
        <w:bottom w:val="none" w:sz="0" w:space="0" w:color="auto"/>
        <w:right w:val="none" w:sz="0" w:space="0" w:color="auto"/>
      </w:divBdr>
    </w:div>
    <w:div w:id="1696661700">
      <w:bodyDiv w:val="1"/>
      <w:marLeft w:val="0"/>
      <w:marRight w:val="0"/>
      <w:marTop w:val="0"/>
      <w:marBottom w:val="0"/>
      <w:divBdr>
        <w:top w:val="none" w:sz="0" w:space="0" w:color="auto"/>
        <w:left w:val="none" w:sz="0" w:space="0" w:color="auto"/>
        <w:bottom w:val="none" w:sz="0" w:space="0" w:color="auto"/>
        <w:right w:val="none" w:sz="0" w:space="0" w:color="auto"/>
      </w:divBdr>
    </w:div>
    <w:div w:id="1697267094">
      <w:bodyDiv w:val="1"/>
      <w:marLeft w:val="0"/>
      <w:marRight w:val="0"/>
      <w:marTop w:val="0"/>
      <w:marBottom w:val="0"/>
      <w:divBdr>
        <w:top w:val="none" w:sz="0" w:space="0" w:color="auto"/>
        <w:left w:val="none" w:sz="0" w:space="0" w:color="auto"/>
        <w:bottom w:val="none" w:sz="0" w:space="0" w:color="auto"/>
        <w:right w:val="none" w:sz="0" w:space="0" w:color="auto"/>
      </w:divBdr>
    </w:div>
    <w:div w:id="1706443694">
      <w:bodyDiv w:val="1"/>
      <w:marLeft w:val="0"/>
      <w:marRight w:val="0"/>
      <w:marTop w:val="0"/>
      <w:marBottom w:val="0"/>
      <w:divBdr>
        <w:top w:val="none" w:sz="0" w:space="0" w:color="auto"/>
        <w:left w:val="none" w:sz="0" w:space="0" w:color="auto"/>
        <w:bottom w:val="none" w:sz="0" w:space="0" w:color="auto"/>
        <w:right w:val="none" w:sz="0" w:space="0" w:color="auto"/>
      </w:divBdr>
    </w:div>
    <w:div w:id="1737706481">
      <w:bodyDiv w:val="1"/>
      <w:marLeft w:val="0"/>
      <w:marRight w:val="0"/>
      <w:marTop w:val="0"/>
      <w:marBottom w:val="0"/>
      <w:divBdr>
        <w:top w:val="none" w:sz="0" w:space="0" w:color="auto"/>
        <w:left w:val="none" w:sz="0" w:space="0" w:color="auto"/>
        <w:bottom w:val="none" w:sz="0" w:space="0" w:color="auto"/>
        <w:right w:val="none" w:sz="0" w:space="0" w:color="auto"/>
      </w:divBdr>
    </w:div>
    <w:div w:id="1772511538">
      <w:bodyDiv w:val="1"/>
      <w:marLeft w:val="0"/>
      <w:marRight w:val="0"/>
      <w:marTop w:val="0"/>
      <w:marBottom w:val="0"/>
      <w:divBdr>
        <w:top w:val="none" w:sz="0" w:space="0" w:color="auto"/>
        <w:left w:val="none" w:sz="0" w:space="0" w:color="auto"/>
        <w:bottom w:val="none" w:sz="0" w:space="0" w:color="auto"/>
        <w:right w:val="none" w:sz="0" w:space="0" w:color="auto"/>
      </w:divBdr>
    </w:div>
    <w:div w:id="1775056747">
      <w:bodyDiv w:val="1"/>
      <w:marLeft w:val="0"/>
      <w:marRight w:val="0"/>
      <w:marTop w:val="0"/>
      <w:marBottom w:val="0"/>
      <w:divBdr>
        <w:top w:val="none" w:sz="0" w:space="0" w:color="auto"/>
        <w:left w:val="none" w:sz="0" w:space="0" w:color="auto"/>
        <w:bottom w:val="none" w:sz="0" w:space="0" w:color="auto"/>
        <w:right w:val="none" w:sz="0" w:space="0" w:color="auto"/>
      </w:divBdr>
    </w:div>
    <w:div w:id="1799227124">
      <w:bodyDiv w:val="1"/>
      <w:marLeft w:val="0"/>
      <w:marRight w:val="0"/>
      <w:marTop w:val="0"/>
      <w:marBottom w:val="0"/>
      <w:divBdr>
        <w:top w:val="none" w:sz="0" w:space="0" w:color="auto"/>
        <w:left w:val="none" w:sz="0" w:space="0" w:color="auto"/>
        <w:bottom w:val="none" w:sz="0" w:space="0" w:color="auto"/>
        <w:right w:val="none" w:sz="0" w:space="0" w:color="auto"/>
      </w:divBdr>
    </w:div>
    <w:div w:id="1813714933">
      <w:bodyDiv w:val="1"/>
      <w:marLeft w:val="0"/>
      <w:marRight w:val="0"/>
      <w:marTop w:val="0"/>
      <w:marBottom w:val="0"/>
      <w:divBdr>
        <w:top w:val="none" w:sz="0" w:space="0" w:color="auto"/>
        <w:left w:val="none" w:sz="0" w:space="0" w:color="auto"/>
        <w:bottom w:val="none" w:sz="0" w:space="0" w:color="auto"/>
        <w:right w:val="none" w:sz="0" w:space="0" w:color="auto"/>
      </w:divBdr>
    </w:div>
    <w:div w:id="1817869503">
      <w:bodyDiv w:val="1"/>
      <w:marLeft w:val="0"/>
      <w:marRight w:val="0"/>
      <w:marTop w:val="0"/>
      <w:marBottom w:val="0"/>
      <w:divBdr>
        <w:top w:val="none" w:sz="0" w:space="0" w:color="auto"/>
        <w:left w:val="none" w:sz="0" w:space="0" w:color="auto"/>
        <w:bottom w:val="none" w:sz="0" w:space="0" w:color="auto"/>
        <w:right w:val="none" w:sz="0" w:space="0" w:color="auto"/>
      </w:divBdr>
    </w:div>
    <w:div w:id="1819377327">
      <w:bodyDiv w:val="1"/>
      <w:marLeft w:val="0"/>
      <w:marRight w:val="0"/>
      <w:marTop w:val="0"/>
      <w:marBottom w:val="0"/>
      <w:divBdr>
        <w:top w:val="none" w:sz="0" w:space="0" w:color="auto"/>
        <w:left w:val="none" w:sz="0" w:space="0" w:color="auto"/>
        <w:bottom w:val="none" w:sz="0" w:space="0" w:color="auto"/>
        <w:right w:val="none" w:sz="0" w:space="0" w:color="auto"/>
      </w:divBdr>
    </w:div>
    <w:div w:id="1844736672">
      <w:bodyDiv w:val="1"/>
      <w:marLeft w:val="0"/>
      <w:marRight w:val="0"/>
      <w:marTop w:val="0"/>
      <w:marBottom w:val="0"/>
      <w:divBdr>
        <w:top w:val="none" w:sz="0" w:space="0" w:color="auto"/>
        <w:left w:val="none" w:sz="0" w:space="0" w:color="auto"/>
        <w:bottom w:val="none" w:sz="0" w:space="0" w:color="auto"/>
        <w:right w:val="none" w:sz="0" w:space="0" w:color="auto"/>
      </w:divBdr>
    </w:div>
    <w:div w:id="1887132971">
      <w:bodyDiv w:val="1"/>
      <w:marLeft w:val="0"/>
      <w:marRight w:val="0"/>
      <w:marTop w:val="0"/>
      <w:marBottom w:val="0"/>
      <w:divBdr>
        <w:top w:val="none" w:sz="0" w:space="0" w:color="auto"/>
        <w:left w:val="none" w:sz="0" w:space="0" w:color="auto"/>
        <w:bottom w:val="none" w:sz="0" w:space="0" w:color="auto"/>
        <w:right w:val="none" w:sz="0" w:space="0" w:color="auto"/>
      </w:divBdr>
    </w:div>
    <w:div w:id="1888755032">
      <w:bodyDiv w:val="1"/>
      <w:marLeft w:val="0"/>
      <w:marRight w:val="0"/>
      <w:marTop w:val="0"/>
      <w:marBottom w:val="0"/>
      <w:divBdr>
        <w:top w:val="none" w:sz="0" w:space="0" w:color="auto"/>
        <w:left w:val="none" w:sz="0" w:space="0" w:color="auto"/>
        <w:bottom w:val="none" w:sz="0" w:space="0" w:color="auto"/>
        <w:right w:val="none" w:sz="0" w:space="0" w:color="auto"/>
      </w:divBdr>
    </w:div>
    <w:div w:id="1901475132">
      <w:bodyDiv w:val="1"/>
      <w:marLeft w:val="0"/>
      <w:marRight w:val="0"/>
      <w:marTop w:val="0"/>
      <w:marBottom w:val="0"/>
      <w:divBdr>
        <w:top w:val="none" w:sz="0" w:space="0" w:color="auto"/>
        <w:left w:val="none" w:sz="0" w:space="0" w:color="auto"/>
        <w:bottom w:val="none" w:sz="0" w:space="0" w:color="auto"/>
        <w:right w:val="none" w:sz="0" w:space="0" w:color="auto"/>
      </w:divBdr>
    </w:div>
    <w:div w:id="1905526631">
      <w:bodyDiv w:val="1"/>
      <w:marLeft w:val="0"/>
      <w:marRight w:val="0"/>
      <w:marTop w:val="0"/>
      <w:marBottom w:val="0"/>
      <w:divBdr>
        <w:top w:val="none" w:sz="0" w:space="0" w:color="auto"/>
        <w:left w:val="none" w:sz="0" w:space="0" w:color="auto"/>
        <w:bottom w:val="none" w:sz="0" w:space="0" w:color="auto"/>
        <w:right w:val="none" w:sz="0" w:space="0" w:color="auto"/>
      </w:divBdr>
    </w:div>
    <w:div w:id="1906837049">
      <w:bodyDiv w:val="1"/>
      <w:marLeft w:val="0"/>
      <w:marRight w:val="0"/>
      <w:marTop w:val="0"/>
      <w:marBottom w:val="0"/>
      <w:divBdr>
        <w:top w:val="none" w:sz="0" w:space="0" w:color="auto"/>
        <w:left w:val="none" w:sz="0" w:space="0" w:color="auto"/>
        <w:bottom w:val="none" w:sz="0" w:space="0" w:color="auto"/>
        <w:right w:val="none" w:sz="0" w:space="0" w:color="auto"/>
      </w:divBdr>
    </w:div>
    <w:div w:id="1920409569">
      <w:bodyDiv w:val="1"/>
      <w:marLeft w:val="0"/>
      <w:marRight w:val="0"/>
      <w:marTop w:val="0"/>
      <w:marBottom w:val="0"/>
      <w:divBdr>
        <w:top w:val="none" w:sz="0" w:space="0" w:color="auto"/>
        <w:left w:val="none" w:sz="0" w:space="0" w:color="auto"/>
        <w:bottom w:val="none" w:sz="0" w:space="0" w:color="auto"/>
        <w:right w:val="none" w:sz="0" w:space="0" w:color="auto"/>
      </w:divBdr>
    </w:div>
    <w:div w:id="1922985925">
      <w:bodyDiv w:val="1"/>
      <w:marLeft w:val="0"/>
      <w:marRight w:val="0"/>
      <w:marTop w:val="0"/>
      <w:marBottom w:val="0"/>
      <w:divBdr>
        <w:top w:val="none" w:sz="0" w:space="0" w:color="auto"/>
        <w:left w:val="none" w:sz="0" w:space="0" w:color="auto"/>
        <w:bottom w:val="none" w:sz="0" w:space="0" w:color="auto"/>
        <w:right w:val="none" w:sz="0" w:space="0" w:color="auto"/>
      </w:divBdr>
    </w:div>
    <w:div w:id="1940599080">
      <w:bodyDiv w:val="1"/>
      <w:marLeft w:val="0"/>
      <w:marRight w:val="0"/>
      <w:marTop w:val="0"/>
      <w:marBottom w:val="0"/>
      <w:divBdr>
        <w:top w:val="none" w:sz="0" w:space="0" w:color="auto"/>
        <w:left w:val="none" w:sz="0" w:space="0" w:color="auto"/>
        <w:bottom w:val="none" w:sz="0" w:space="0" w:color="auto"/>
        <w:right w:val="none" w:sz="0" w:space="0" w:color="auto"/>
      </w:divBdr>
    </w:div>
    <w:div w:id="1943490248">
      <w:bodyDiv w:val="1"/>
      <w:marLeft w:val="0"/>
      <w:marRight w:val="0"/>
      <w:marTop w:val="0"/>
      <w:marBottom w:val="0"/>
      <w:divBdr>
        <w:top w:val="none" w:sz="0" w:space="0" w:color="auto"/>
        <w:left w:val="none" w:sz="0" w:space="0" w:color="auto"/>
        <w:bottom w:val="none" w:sz="0" w:space="0" w:color="auto"/>
        <w:right w:val="none" w:sz="0" w:space="0" w:color="auto"/>
      </w:divBdr>
    </w:div>
    <w:div w:id="1945383135">
      <w:bodyDiv w:val="1"/>
      <w:marLeft w:val="0"/>
      <w:marRight w:val="0"/>
      <w:marTop w:val="0"/>
      <w:marBottom w:val="0"/>
      <w:divBdr>
        <w:top w:val="none" w:sz="0" w:space="0" w:color="auto"/>
        <w:left w:val="none" w:sz="0" w:space="0" w:color="auto"/>
        <w:bottom w:val="none" w:sz="0" w:space="0" w:color="auto"/>
        <w:right w:val="none" w:sz="0" w:space="0" w:color="auto"/>
      </w:divBdr>
    </w:div>
    <w:div w:id="1969310600">
      <w:bodyDiv w:val="1"/>
      <w:marLeft w:val="0"/>
      <w:marRight w:val="0"/>
      <w:marTop w:val="0"/>
      <w:marBottom w:val="0"/>
      <w:divBdr>
        <w:top w:val="none" w:sz="0" w:space="0" w:color="auto"/>
        <w:left w:val="none" w:sz="0" w:space="0" w:color="auto"/>
        <w:bottom w:val="none" w:sz="0" w:space="0" w:color="auto"/>
        <w:right w:val="none" w:sz="0" w:space="0" w:color="auto"/>
      </w:divBdr>
    </w:div>
    <w:div w:id="1983121960">
      <w:bodyDiv w:val="1"/>
      <w:marLeft w:val="0"/>
      <w:marRight w:val="0"/>
      <w:marTop w:val="0"/>
      <w:marBottom w:val="0"/>
      <w:divBdr>
        <w:top w:val="none" w:sz="0" w:space="0" w:color="auto"/>
        <w:left w:val="none" w:sz="0" w:space="0" w:color="auto"/>
        <w:bottom w:val="none" w:sz="0" w:space="0" w:color="auto"/>
        <w:right w:val="none" w:sz="0" w:space="0" w:color="auto"/>
      </w:divBdr>
    </w:div>
    <w:div w:id="2062628795">
      <w:bodyDiv w:val="1"/>
      <w:marLeft w:val="0"/>
      <w:marRight w:val="0"/>
      <w:marTop w:val="0"/>
      <w:marBottom w:val="0"/>
      <w:divBdr>
        <w:top w:val="none" w:sz="0" w:space="0" w:color="auto"/>
        <w:left w:val="none" w:sz="0" w:space="0" w:color="auto"/>
        <w:bottom w:val="none" w:sz="0" w:space="0" w:color="auto"/>
        <w:right w:val="none" w:sz="0" w:space="0" w:color="auto"/>
      </w:divBdr>
    </w:div>
    <w:div w:id="2071034464">
      <w:bodyDiv w:val="1"/>
      <w:marLeft w:val="0"/>
      <w:marRight w:val="0"/>
      <w:marTop w:val="0"/>
      <w:marBottom w:val="0"/>
      <w:divBdr>
        <w:top w:val="none" w:sz="0" w:space="0" w:color="auto"/>
        <w:left w:val="none" w:sz="0" w:space="0" w:color="auto"/>
        <w:bottom w:val="none" w:sz="0" w:space="0" w:color="auto"/>
        <w:right w:val="none" w:sz="0" w:space="0" w:color="auto"/>
      </w:divBdr>
    </w:div>
    <w:div w:id="2091463841">
      <w:bodyDiv w:val="1"/>
      <w:marLeft w:val="0"/>
      <w:marRight w:val="0"/>
      <w:marTop w:val="0"/>
      <w:marBottom w:val="0"/>
      <w:divBdr>
        <w:top w:val="none" w:sz="0" w:space="0" w:color="auto"/>
        <w:left w:val="none" w:sz="0" w:space="0" w:color="auto"/>
        <w:bottom w:val="none" w:sz="0" w:space="0" w:color="auto"/>
        <w:right w:val="none" w:sz="0" w:space="0" w:color="auto"/>
      </w:divBdr>
    </w:div>
    <w:div w:id="2093308810">
      <w:bodyDiv w:val="1"/>
      <w:marLeft w:val="0"/>
      <w:marRight w:val="0"/>
      <w:marTop w:val="0"/>
      <w:marBottom w:val="0"/>
      <w:divBdr>
        <w:top w:val="none" w:sz="0" w:space="0" w:color="auto"/>
        <w:left w:val="none" w:sz="0" w:space="0" w:color="auto"/>
        <w:bottom w:val="none" w:sz="0" w:space="0" w:color="auto"/>
        <w:right w:val="none" w:sz="0" w:space="0" w:color="auto"/>
      </w:divBdr>
    </w:div>
    <w:div w:id="21451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rose\Local%20Settings\Temporary%20Internet%20Files\OLK22\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9593-F0ED-43F3-BAB9-DED8EB64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ARCATMasterR2</Template>
  <TotalTime>1</TotalTime>
  <Pages>6</Pages>
  <Words>2234</Words>
  <Characters>14234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Section 02829 - Electric Gate Operators</vt:lpstr>
    </vt:vector>
  </TitlesOfParts>
  <Manager>MK</Manager>
  <Company>ARCAT Inc., 2014  (12/14)</Company>
  <LinksUpToDate>false</LinksUpToDate>
  <CharactersWithSpaces>16436</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02829 - Electric Gate Operators</dc:title>
  <dc:subject>LiftMaster</dc:subject>
  <dc:creator>Valdez, Brian</dc:creator>
  <cp:lastModifiedBy>jonathan</cp:lastModifiedBy>
  <cp:revision>2</cp:revision>
  <cp:lastPrinted>2015-09-20T20:58:00Z</cp:lastPrinted>
  <dcterms:created xsi:type="dcterms:W3CDTF">2018-12-11T20:15:00Z</dcterms:created>
  <dcterms:modified xsi:type="dcterms:W3CDTF">2018-12-11T20:15:00Z</dcterms:modified>
</cp:coreProperties>
</file>